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DF82" w14:textId="77777777" w:rsidR="00883440" w:rsidRDefault="00883440" w:rsidP="00883440">
      <w:pPr>
        <w:jc w:val="center"/>
        <w:rPr>
          <w:b/>
          <w:sz w:val="28"/>
        </w:rPr>
      </w:pPr>
      <w:r>
        <w:rPr>
          <w:b/>
          <w:sz w:val="28"/>
        </w:rPr>
        <w:t>Negotiated Rulemaking Summary</w:t>
      </w:r>
    </w:p>
    <w:p w14:paraId="5B9CA384" w14:textId="629DEA43" w:rsidR="00883440" w:rsidRDefault="00883440" w:rsidP="00883440">
      <w:pPr>
        <w:jc w:val="center"/>
        <w:rPr>
          <w:rFonts w:ascii="Calibri" w:eastAsia="Times New Roman" w:hAnsi="Calibri" w:cs="Calibri"/>
          <w:b/>
          <w:bCs/>
          <w:color w:val="000000"/>
          <w:sz w:val="24"/>
          <w:szCs w:val="24"/>
        </w:rPr>
      </w:pPr>
      <w:r w:rsidRPr="00883440">
        <w:rPr>
          <w:rFonts w:ascii="Calibri" w:eastAsia="Times New Roman" w:hAnsi="Calibri" w:cs="Calibri"/>
          <w:b/>
          <w:bCs/>
          <w:color w:val="000000"/>
          <w:sz w:val="24"/>
          <w:szCs w:val="24"/>
        </w:rPr>
        <w:t>IDAPA 20.03.0</w:t>
      </w:r>
      <w:r w:rsidR="009E3098">
        <w:rPr>
          <w:rFonts w:ascii="Calibri" w:eastAsia="Times New Roman" w:hAnsi="Calibri" w:cs="Calibri"/>
          <w:b/>
          <w:bCs/>
          <w:color w:val="000000"/>
          <w:sz w:val="24"/>
          <w:szCs w:val="24"/>
        </w:rPr>
        <w:t>3</w:t>
      </w:r>
      <w:r w:rsidRPr="00883440">
        <w:rPr>
          <w:rFonts w:ascii="Calibri" w:eastAsia="Times New Roman" w:hAnsi="Calibri" w:cs="Calibri"/>
          <w:b/>
          <w:bCs/>
          <w:color w:val="000000"/>
          <w:sz w:val="24"/>
          <w:szCs w:val="24"/>
        </w:rPr>
        <w:t xml:space="preserve">, Rules Governing </w:t>
      </w:r>
      <w:r w:rsidR="00BF607E">
        <w:rPr>
          <w:rFonts w:ascii="Calibri" w:eastAsia="Times New Roman" w:hAnsi="Calibri" w:cs="Calibri"/>
          <w:b/>
          <w:bCs/>
          <w:color w:val="000000"/>
          <w:sz w:val="24"/>
          <w:szCs w:val="24"/>
        </w:rPr>
        <w:t>Administration of the Reclamation Fund</w:t>
      </w:r>
    </w:p>
    <w:p w14:paraId="7F162034" w14:textId="4C0A269C" w:rsidR="00883440" w:rsidRDefault="00883440" w:rsidP="00883440">
      <w:pPr>
        <w:jc w:val="center"/>
        <w:rPr>
          <w:rFonts w:ascii="Calibri" w:eastAsia="Times New Roman" w:hAnsi="Calibri" w:cs="Calibri"/>
          <w:color w:val="000000"/>
          <w:sz w:val="24"/>
          <w:szCs w:val="24"/>
        </w:rPr>
      </w:pPr>
      <w:r>
        <w:rPr>
          <w:rFonts w:ascii="Calibri" w:eastAsia="Times New Roman" w:hAnsi="Calibri" w:cs="Calibri"/>
          <w:color w:val="000000"/>
          <w:sz w:val="24"/>
          <w:szCs w:val="24"/>
        </w:rPr>
        <w:t>Docket No. 20-030</w:t>
      </w:r>
      <w:r w:rsidR="009E3098">
        <w:rPr>
          <w:rFonts w:ascii="Calibri" w:eastAsia="Times New Roman" w:hAnsi="Calibri" w:cs="Calibri"/>
          <w:color w:val="000000"/>
          <w:sz w:val="24"/>
          <w:szCs w:val="24"/>
        </w:rPr>
        <w:t>3</w:t>
      </w:r>
      <w:r>
        <w:rPr>
          <w:rFonts w:ascii="Calibri" w:eastAsia="Times New Roman" w:hAnsi="Calibri" w:cs="Calibri"/>
          <w:color w:val="000000"/>
          <w:sz w:val="24"/>
          <w:szCs w:val="24"/>
        </w:rPr>
        <w:t>-2301</w:t>
      </w:r>
    </w:p>
    <w:p w14:paraId="49EBE023" w14:textId="557EA196" w:rsidR="00883440" w:rsidRPr="00883440" w:rsidRDefault="00883440" w:rsidP="00883440">
      <w:pPr>
        <w:rPr>
          <w:rFonts w:ascii="Calibri" w:eastAsia="Times New Roman" w:hAnsi="Calibri" w:cs="Calibri"/>
          <w:color w:val="000000"/>
          <w:sz w:val="24"/>
          <w:szCs w:val="24"/>
        </w:rPr>
      </w:pPr>
      <w:r w:rsidRPr="001A5092">
        <w:t>Following Executive Order 2020-01</w:t>
      </w:r>
      <w:r>
        <w:t>:</w:t>
      </w:r>
      <w:r w:rsidRPr="001A5092">
        <w:t xml:space="preserve"> Zero-Based Regulation, this rule chapter is scheduled to be repealed and replaced in 202</w:t>
      </w:r>
      <w:r w:rsidR="002D4CE8">
        <w:t>3</w:t>
      </w:r>
      <w:r w:rsidRPr="001A5092">
        <w:t xml:space="preserve"> for review during the 202</w:t>
      </w:r>
      <w:r w:rsidR="002D4CE8">
        <w:t>4</w:t>
      </w:r>
      <w:r w:rsidRPr="001A5092">
        <w:t xml:space="preserve"> legislative session.</w:t>
      </w:r>
    </w:p>
    <w:p w14:paraId="6AEEE048" w14:textId="77777777" w:rsidR="00683ED2" w:rsidRPr="00C914C2" w:rsidRDefault="00683ED2" w:rsidP="00683ED2">
      <w:r>
        <w:t>The Idaho Department of Lands (Department) administers these rules under the authority of Title 47, Chapter 18, Idaho Code. IDAPA 20.03.03 provides consistent guidance in how Idaho’s Reclamation Fund (Fund) is implemented.</w:t>
      </w:r>
      <w:r w:rsidRPr="1C97865D">
        <w:t xml:space="preserve"> </w:t>
      </w:r>
      <w:r>
        <w:t>The Fund is a type of state bond pool created in 2002 to provide an alternative form of performance bond or financial assurance as required by Idaho mining regulations.</w:t>
      </w:r>
      <w:r w:rsidRPr="1C97865D">
        <w:t xml:space="preserve"> </w:t>
      </w:r>
      <w:r>
        <w:t>The Fund is to be used by the Department to complete reclamation in the event an operator is unable to do so.</w:t>
      </w:r>
    </w:p>
    <w:p w14:paraId="1F9799EF" w14:textId="010527FC" w:rsidR="00883440" w:rsidRDefault="00683ED2" w:rsidP="00683ED2">
      <w:pPr>
        <w:rPr>
          <w:rFonts w:cstheme="minorHAnsi"/>
          <w:szCs w:val="24"/>
        </w:rPr>
      </w:pPr>
      <w:r>
        <w:rPr>
          <w:rFonts w:cstheme="minorHAnsi"/>
          <w:szCs w:val="24"/>
        </w:rPr>
        <w:t xml:space="preserve">Negotiated rulemaking for these rules was approved by the Land Board on November 15, 2022 </w:t>
      </w:r>
      <w:r>
        <w:t xml:space="preserve">(Attachment 1). </w:t>
      </w:r>
      <w:bookmarkStart w:id="0" w:name="_Hlk142654004"/>
      <w:r w:rsidRPr="00B9681E">
        <w:t>The No</w:t>
      </w:r>
      <w:r>
        <w:t>tice of Intent to Promulgate Rules – Zero-Based Regulation Negotiated Rulemaking was published in the Idaho Administrative Bu</w:t>
      </w:r>
      <w:r w:rsidRPr="00B9681E">
        <w:t xml:space="preserve">lletin on April </w:t>
      </w:r>
      <w:r>
        <w:t>5</w:t>
      </w:r>
      <w:r w:rsidRPr="00B9681E">
        <w:t>, 202</w:t>
      </w:r>
      <w:r>
        <w:t>3</w:t>
      </w:r>
      <w:r w:rsidRPr="00B9681E">
        <w:t>.</w:t>
      </w:r>
      <w:bookmarkEnd w:id="0"/>
    </w:p>
    <w:p w14:paraId="36EE5644" w14:textId="77777777" w:rsidR="00E336A1" w:rsidRPr="00E43745" w:rsidRDefault="00E336A1" w:rsidP="00E336A1">
      <w:pPr>
        <w:pStyle w:val="Heading1"/>
      </w:pPr>
      <w:r w:rsidRPr="00D131D0">
        <w:t>Stakeholder Outreach</w:t>
      </w:r>
    </w:p>
    <w:p w14:paraId="143A913C" w14:textId="17A0B1A5" w:rsidR="00E336A1" w:rsidRDefault="00E336A1" w:rsidP="00E336A1">
      <w:r>
        <w:t>The IDL’s outreach for negotiated rulemaking included the following:</w:t>
      </w:r>
    </w:p>
    <w:p w14:paraId="25E26638" w14:textId="36E9387E" w:rsidR="00E336A1" w:rsidRPr="00DD4EC2" w:rsidRDefault="00E336A1" w:rsidP="00E336A1">
      <w:pPr>
        <w:pStyle w:val="ListParagraph"/>
        <w:numPr>
          <w:ilvl w:val="0"/>
          <w:numId w:val="10"/>
        </w:numPr>
        <w:spacing w:before="120" w:after="120" w:line="240" w:lineRule="auto"/>
        <w:rPr>
          <w:rFonts w:cstheme="minorHAnsi"/>
          <w:szCs w:val="24"/>
        </w:rPr>
      </w:pPr>
      <w:r>
        <w:rPr>
          <w:rFonts w:cstheme="minorHAnsi"/>
          <w:szCs w:val="24"/>
        </w:rPr>
        <w:t>Published the Notice of Negotiated Rulemaking in the Idaho Administrative Bulletin</w:t>
      </w:r>
    </w:p>
    <w:p w14:paraId="79782764" w14:textId="415186DF" w:rsidR="00E336A1" w:rsidRPr="00250E80" w:rsidRDefault="00E336A1" w:rsidP="00E336A1">
      <w:pPr>
        <w:pStyle w:val="ListParagraph"/>
        <w:numPr>
          <w:ilvl w:val="0"/>
          <w:numId w:val="10"/>
        </w:numPr>
        <w:spacing w:before="120" w:after="120" w:line="240" w:lineRule="auto"/>
        <w:rPr>
          <w:rFonts w:cstheme="minorHAnsi"/>
          <w:szCs w:val="24"/>
        </w:rPr>
      </w:pPr>
      <w:r>
        <w:t>Created a rulemaking webpage to post documents, scheduling information, and comments (</w:t>
      </w:r>
      <w:hyperlink r:id="rId8" w:history="1">
        <w:r w:rsidR="009E3098" w:rsidRPr="008665E3">
          <w:rPr>
            <w:rStyle w:val="Hyperlink"/>
          </w:rPr>
          <w:t>https://www.idl.idaho.gov/rulemaking/docket-20-0303-2301/</w:t>
        </w:r>
      </w:hyperlink>
      <w:r>
        <w:t>)</w:t>
      </w:r>
    </w:p>
    <w:p w14:paraId="118C1840" w14:textId="3B9DC557" w:rsidR="00E336A1" w:rsidRPr="00914303" w:rsidRDefault="00E336A1" w:rsidP="00E336A1">
      <w:pPr>
        <w:pStyle w:val="ListParagraph"/>
        <w:numPr>
          <w:ilvl w:val="0"/>
          <w:numId w:val="10"/>
        </w:numPr>
        <w:spacing w:before="120" w:after="120" w:line="240" w:lineRule="auto"/>
        <w:rPr>
          <w:rFonts w:cstheme="minorHAnsi"/>
          <w:szCs w:val="24"/>
        </w:rPr>
      </w:pPr>
      <w:r w:rsidRPr="00914303">
        <w:t>Posted meeting information on social media</w:t>
      </w:r>
    </w:p>
    <w:p w14:paraId="7B9670C8" w14:textId="77777777" w:rsidR="00DD26EA" w:rsidRPr="00CA3FA9" w:rsidRDefault="00DD26EA" w:rsidP="00DD26EA">
      <w:pPr>
        <w:pStyle w:val="ListParagraph"/>
        <w:numPr>
          <w:ilvl w:val="0"/>
          <w:numId w:val="10"/>
        </w:numPr>
        <w:spacing w:before="120" w:after="120" w:line="240" w:lineRule="auto"/>
        <w:rPr>
          <w:rFonts w:cstheme="minorHAnsi"/>
          <w:szCs w:val="24"/>
        </w:rPr>
      </w:pPr>
      <w:r>
        <w:t>Posted rulemaking notices to Townhall Idaho</w:t>
      </w:r>
    </w:p>
    <w:p w14:paraId="26FB2F92" w14:textId="7DAD29BF" w:rsidR="00E336A1" w:rsidRPr="00E336A1" w:rsidRDefault="00E336A1" w:rsidP="00E336A1">
      <w:pPr>
        <w:pStyle w:val="ListParagraph"/>
        <w:numPr>
          <w:ilvl w:val="0"/>
          <w:numId w:val="10"/>
        </w:numPr>
        <w:rPr>
          <w:rFonts w:ascii="Calibri" w:eastAsia="Times New Roman" w:hAnsi="Calibri" w:cs="Calibri"/>
          <w:b/>
          <w:bCs/>
          <w:color w:val="000000"/>
          <w:sz w:val="24"/>
          <w:szCs w:val="24"/>
        </w:rPr>
      </w:pPr>
      <w:r w:rsidRPr="00914303">
        <w:t>Mailed postcards to 3</w:t>
      </w:r>
      <w:r w:rsidR="00683ED2">
        <w:t>71</w:t>
      </w:r>
      <w:r w:rsidRPr="00914303">
        <w:t xml:space="preserve"> customers</w:t>
      </w:r>
    </w:p>
    <w:p w14:paraId="1DACEB0E" w14:textId="77777777" w:rsidR="00E336A1" w:rsidRPr="00E43745" w:rsidRDefault="00E336A1" w:rsidP="00E336A1">
      <w:pPr>
        <w:pStyle w:val="Heading1"/>
      </w:pPr>
      <w:r w:rsidRPr="00E43745">
        <w:t xml:space="preserve">Negotiated Rulemaking </w:t>
      </w:r>
      <w:r>
        <w:t>Public Meetings</w:t>
      </w:r>
    </w:p>
    <w:p w14:paraId="1BC45C9E" w14:textId="5C398030" w:rsidR="00BB1D44" w:rsidRDefault="00E336A1" w:rsidP="00E336A1">
      <w:r>
        <w:t>Negotiated rulemaking meetings were held on April 26</w:t>
      </w:r>
      <w:r w:rsidR="00683ED2">
        <w:t xml:space="preserve"> and </w:t>
      </w:r>
      <w:r>
        <w:t>May 4, 2023</w:t>
      </w:r>
      <w:r w:rsidR="00683ED2">
        <w:t>. A total of 6</w:t>
      </w:r>
      <w:r>
        <w:t xml:space="preserve"> non-Department affiliated people attended these meetings. </w:t>
      </w:r>
    </w:p>
    <w:p w14:paraId="2C6D3155" w14:textId="2096D5C3" w:rsidR="00954AE2" w:rsidRDefault="00954AE2" w:rsidP="00E336A1">
      <w:r>
        <w:t xml:space="preserve">Some discussion occurred regarding the elimination of Section 002, Administrative Appeals. All appeals </w:t>
      </w:r>
      <w:r w:rsidR="009E3098">
        <w:t>are guided by</w:t>
      </w:r>
      <w:r w:rsidRPr="0090034A">
        <w:rPr>
          <w:rFonts w:ascii="Calibri" w:eastAsia="Calibri" w:hAnsi="Calibri" w:cs="Calibri"/>
        </w:rPr>
        <w:t xml:space="preserve"> Title 67, Chapter 52</w:t>
      </w:r>
      <w:r>
        <w:rPr>
          <w:rFonts w:ascii="Calibri" w:eastAsia="Calibri" w:hAnsi="Calibri" w:cs="Calibri"/>
        </w:rPr>
        <w:t xml:space="preserve">, Idaho Code. </w:t>
      </w:r>
      <w:r w:rsidR="009E3098">
        <w:rPr>
          <w:rFonts w:ascii="Calibri" w:eastAsia="Calibri" w:hAnsi="Calibri" w:cs="Calibri"/>
        </w:rPr>
        <w:t>Some discussion occurred regarding</w:t>
      </w:r>
      <w:r>
        <w:rPr>
          <w:rFonts w:ascii="Calibri" w:eastAsia="Calibri" w:hAnsi="Calibri" w:cs="Calibri"/>
        </w:rPr>
        <w:t xml:space="preserve"> Subsection 018.02 and how it relates to the actual limits on participation. </w:t>
      </w:r>
      <w:r>
        <w:t xml:space="preserve">The </w:t>
      </w:r>
      <w:r w:rsidRPr="0090034A">
        <w:rPr>
          <w:rFonts w:ascii="Calibri" w:eastAsia="Calibri" w:hAnsi="Calibri" w:cs="Calibri"/>
        </w:rPr>
        <w:t xml:space="preserve">maximum </w:t>
      </w:r>
      <w:r>
        <w:rPr>
          <w:rFonts w:ascii="Calibri" w:eastAsia="Calibri" w:hAnsi="Calibri" w:cs="Calibri"/>
        </w:rPr>
        <w:t>limits</w:t>
      </w:r>
      <w:r w:rsidRPr="0090034A">
        <w:rPr>
          <w:rFonts w:ascii="Calibri" w:eastAsia="Calibri" w:hAnsi="Calibri" w:cs="Calibri"/>
        </w:rPr>
        <w:t xml:space="preserve"> are set by rule, but the Land Board has flexibility to set </w:t>
      </w:r>
      <w:r>
        <w:rPr>
          <w:rFonts w:ascii="Calibri" w:eastAsia="Calibri" w:hAnsi="Calibri" w:cs="Calibri"/>
        </w:rPr>
        <w:t xml:space="preserve">lower </w:t>
      </w:r>
      <w:r w:rsidRPr="0090034A">
        <w:rPr>
          <w:rFonts w:ascii="Calibri" w:eastAsia="Calibri" w:hAnsi="Calibri" w:cs="Calibri"/>
        </w:rPr>
        <w:t xml:space="preserve">actual </w:t>
      </w:r>
      <w:r>
        <w:rPr>
          <w:rFonts w:ascii="Calibri" w:eastAsia="Calibri" w:hAnsi="Calibri" w:cs="Calibri"/>
        </w:rPr>
        <w:t>l</w:t>
      </w:r>
      <w:r w:rsidRPr="0090034A">
        <w:rPr>
          <w:rFonts w:ascii="Calibri" w:eastAsia="Calibri" w:hAnsi="Calibri" w:cs="Calibri"/>
        </w:rPr>
        <w:t>imit</w:t>
      </w:r>
      <w:r>
        <w:rPr>
          <w:rFonts w:ascii="Calibri" w:eastAsia="Calibri" w:hAnsi="Calibri" w:cs="Calibri"/>
        </w:rPr>
        <w:t>s</w:t>
      </w:r>
      <w:r w:rsidRPr="0090034A">
        <w:rPr>
          <w:rFonts w:ascii="Calibri" w:eastAsia="Calibri" w:hAnsi="Calibri" w:cs="Calibri"/>
        </w:rPr>
        <w:t>. This is determined through periodic actuarial analysis. The current limits set by the Land Board in 2020 are 40 acres and $220,000</w:t>
      </w:r>
      <w:r>
        <w:rPr>
          <w:rFonts w:ascii="Calibri" w:eastAsia="Calibri" w:hAnsi="Calibri" w:cs="Calibri"/>
        </w:rPr>
        <w:t xml:space="preserve"> in reclamation costs</w:t>
      </w:r>
      <w:r w:rsidRPr="0090034A">
        <w:rPr>
          <w:rFonts w:ascii="Calibri" w:eastAsia="Calibri" w:hAnsi="Calibri" w:cs="Calibri"/>
        </w:rPr>
        <w:t>.</w:t>
      </w:r>
      <w:r>
        <w:t xml:space="preserve"> </w:t>
      </w:r>
    </w:p>
    <w:p w14:paraId="73C73EE9" w14:textId="77777777" w:rsidR="00E336A1" w:rsidRPr="00D131D0" w:rsidRDefault="00E336A1" w:rsidP="00E336A1">
      <w:pPr>
        <w:pStyle w:val="Heading1"/>
      </w:pPr>
      <w:r>
        <w:t>Written Comments</w:t>
      </w:r>
    </w:p>
    <w:p w14:paraId="73355305" w14:textId="77777777" w:rsidR="00E336A1" w:rsidRDefault="00E336A1" w:rsidP="00E336A1">
      <w:r>
        <w:t>No written comments were received.</w:t>
      </w:r>
    </w:p>
    <w:p w14:paraId="65C40E11" w14:textId="77777777" w:rsidR="00E336A1" w:rsidRDefault="00E336A1" w:rsidP="00E336A1">
      <w:pPr>
        <w:pStyle w:val="Heading1"/>
      </w:pPr>
      <w:r>
        <w:t>Concluding Negotiated Rulemaking</w:t>
      </w:r>
    </w:p>
    <w:p w14:paraId="59F2DCCA" w14:textId="04883496" w:rsidR="00072FA8" w:rsidRDefault="009E3098" w:rsidP="00E336A1">
      <w:r>
        <w:t>No unresolved issues were encountered.</w:t>
      </w:r>
    </w:p>
    <w:p w14:paraId="0ACF25D5" w14:textId="402CB871" w:rsidR="00E336A1" w:rsidRPr="00E336A1" w:rsidRDefault="00DA2E2B" w:rsidP="00E336A1">
      <w:pPr>
        <w:rPr>
          <w:rFonts w:ascii="Calibri" w:eastAsia="Times New Roman" w:hAnsi="Calibri" w:cs="Calibri"/>
          <w:b/>
          <w:bCs/>
          <w:color w:val="000000"/>
          <w:sz w:val="24"/>
          <w:szCs w:val="24"/>
        </w:rPr>
        <w:sectPr w:rsidR="00E336A1" w:rsidRPr="00E336A1" w:rsidSect="00883440">
          <w:footerReference w:type="default" r:id="rId9"/>
          <w:footerReference w:type="first" r:id="rId10"/>
          <w:pgSz w:w="12240" w:h="15840"/>
          <w:pgMar w:top="1440" w:right="1440" w:bottom="1440" w:left="1440" w:header="576" w:footer="720" w:gutter="0"/>
          <w:cols w:space="720"/>
          <w:titlePg/>
          <w:docGrid w:linePitch="360"/>
        </w:sectPr>
      </w:pPr>
      <w:r>
        <w:t>IDL</w:t>
      </w:r>
      <w:r w:rsidR="00E336A1">
        <w:t xml:space="preserve"> concluded the negotiated rulemaking process and submitted the rule changes for publication as a proposed rule in the September </w:t>
      </w:r>
      <w:r w:rsidR="001D0ED7">
        <w:t>6</w:t>
      </w:r>
      <w:r w:rsidR="00E336A1">
        <w:t>, 202</w:t>
      </w:r>
      <w:r w:rsidR="00072FA8">
        <w:t>3</w:t>
      </w:r>
      <w:r w:rsidR="00E336A1">
        <w:t xml:space="preserve">, edition of the Idaho Administrative Bulletin. Key documents </w:t>
      </w:r>
      <w:r w:rsidR="00E336A1">
        <w:lastRenderedPageBreak/>
        <w:t>from the rulemaking record are available at</w:t>
      </w:r>
      <w:r w:rsidR="009E3098">
        <w:t xml:space="preserve"> </w:t>
      </w:r>
      <w:hyperlink r:id="rId11" w:history="1">
        <w:r w:rsidR="009E3098" w:rsidRPr="008665E3">
          <w:rPr>
            <w:rStyle w:val="Hyperlink"/>
          </w:rPr>
          <w:t>https://www.idl.idaho.gov/rulemaking/docket-20-0303-2301/</w:t>
        </w:r>
      </w:hyperlink>
      <w:r w:rsidR="00E336A1">
        <w:t>, including research materials, and the proposed rule text in legislative format to allow the reader to easily identify changes.</w:t>
      </w:r>
    </w:p>
    <w:p w14:paraId="4200AE41" w14:textId="7A84B9E5" w:rsidR="00883440" w:rsidRDefault="00883440" w:rsidP="00883440">
      <w:pPr>
        <w:pStyle w:val="Heading1"/>
        <w:spacing w:before="0" w:after="0"/>
        <w:jc w:val="center"/>
      </w:pPr>
      <w:r w:rsidRPr="004E4002">
        <w:lastRenderedPageBreak/>
        <w:t>Response to Comments on Negotiated Rule</w:t>
      </w:r>
    </w:p>
    <w:p w14:paraId="5D0345E0" w14:textId="58197925" w:rsidR="00ED2F2D" w:rsidRDefault="00883440" w:rsidP="00883440">
      <w:pPr>
        <w:pStyle w:val="Header"/>
        <w:jc w:val="center"/>
        <w:rPr>
          <w:rFonts w:ascii="Calibri" w:eastAsia="Times New Roman" w:hAnsi="Calibri" w:cs="Calibri"/>
          <w:color w:val="000000"/>
        </w:rPr>
      </w:pPr>
      <w:r w:rsidRPr="004E4002">
        <w:rPr>
          <w:rFonts w:ascii="Calibri" w:eastAsia="Times New Roman" w:hAnsi="Calibri" w:cs="Calibri"/>
          <w:color w:val="000000"/>
        </w:rPr>
        <w:t>IDAPA 20.03.</w:t>
      </w:r>
      <w:r>
        <w:rPr>
          <w:rFonts w:ascii="Calibri" w:eastAsia="Times New Roman" w:hAnsi="Calibri" w:cs="Calibri"/>
          <w:color w:val="000000"/>
        </w:rPr>
        <w:t>0</w:t>
      </w:r>
      <w:r w:rsidR="009E3098">
        <w:rPr>
          <w:rFonts w:ascii="Calibri" w:eastAsia="Times New Roman" w:hAnsi="Calibri" w:cs="Calibri"/>
          <w:color w:val="000000"/>
        </w:rPr>
        <w:t>3</w:t>
      </w:r>
      <w:r w:rsidRPr="004E4002">
        <w:rPr>
          <w:rFonts w:ascii="Calibri" w:eastAsia="Times New Roman" w:hAnsi="Calibri" w:cs="Calibri"/>
          <w:color w:val="000000"/>
        </w:rPr>
        <w:t xml:space="preserve">, </w:t>
      </w:r>
      <w:r w:rsidRPr="00331DAC">
        <w:rPr>
          <w:rFonts w:ascii="Calibri" w:eastAsia="Times New Roman" w:hAnsi="Calibri" w:cs="Calibri"/>
          <w:color w:val="000000"/>
        </w:rPr>
        <w:t xml:space="preserve">Rules Governing </w:t>
      </w:r>
      <w:r w:rsidR="009E3098">
        <w:rPr>
          <w:rFonts w:ascii="Calibri" w:eastAsia="Times New Roman" w:hAnsi="Calibri" w:cs="Calibri"/>
          <w:color w:val="000000"/>
        </w:rPr>
        <w:t>Administration of the Reclamation Fund</w:t>
      </w:r>
    </w:p>
    <w:p w14:paraId="52E37177" w14:textId="77777777" w:rsidR="00883440" w:rsidRDefault="00883440" w:rsidP="00883440">
      <w:pPr>
        <w:pStyle w:val="Header"/>
        <w:jc w:val="center"/>
      </w:pPr>
    </w:p>
    <w:tbl>
      <w:tblPr>
        <w:tblW w:w="12325" w:type="dxa"/>
        <w:jc w:val="center"/>
        <w:tblLook w:val="04A0" w:firstRow="1" w:lastRow="0" w:firstColumn="1" w:lastColumn="0" w:noHBand="0" w:noVBand="1"/>
      </w:tblPr>
      <w:tblGrid>
        <w:gridCol w:w="4228"/>
        <w:gridCol w:w="1186"/>
        <w:gridCol w:w="6911"/>
      </w:tblGrid>
      <w:tr w:rsidR="00105C1B" w:rsidRPr="004E4002" w14:paraId="23D5F813" w14:textId="77777777" w:rsidTr="00105C1B">
        <w:trPr>
          <w:trHeight w:val="405"/>
          <w:tblHeader/>
          <w:jc w:val="center"/>
        </w:trPr>
        <w:tc>
          <w:tcPr>
            <w:tcW w:w="42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FFE6E7" w14:textId="77777777" w:rsidR="00105C1B" w:rsidRPr="004E4002" w:rsidRDefault="00105C1B" w:rsidP="00172AFF">
            <w:pPr>
              <w:spacing w:after="0" w:line="240" w:lineRule="auto"/>
              <w:jc w:val="center"/>
              <w:rPr>
                <w:rFonts w:ascii="Calibri" w:eastAsia="Times New Roman" w:hAnsi="Calibri" w:cs="Calibri"/>
                <w:b/>
                <w:bCs/>
                <w:color w:val="000000"/>
              </w:rPr>
            </w:pPr>
            <w:r w:rsidRPr="004E4002">
              <w:rPr>
                <w:rFonts w:ascii="Calibri" w:eastAsia="Times New Roman" w:hAnsi="Calibri" w:cs="Calibri"/>
                <w:b/>
                <w:bCs/>
                <w:color w:val="000000"/>
              </w:rPr>
              <w:t>Comment</w:t>
            </w:r>
          </w:p>
        </w:tc>
        <w:tc>
          <w:tcPr>
            <w:tcW w:w="1186" w:type="dxa"/>
            <w:tcBorders>
              <w:top w:val="single" w:sz="4" w:space="0" w:color="auto"/>
              <w:left w:val="nil"/>
              <w:bottom w:val="single" w:sz="4" w:space="0" w:color="auto"/>
              <w:right w:val="single" w:sz="4" w:space="0" w:color="auto"/>
            </w:tcBorders>
            <w:shd w:val="clear" w:color="000000" w:fill="D9D9D9"/>
            <w:noWrap/>
            <w:vAlign w:val="center"/>
            <w:hideMark/>
          </w:tcPr>
          <w:p w14:paraId="3B4A2155" w14:textId="77777777" w:rsidR="00105C1B" w:rsidRPr="004E4002" w:rsidRDefault="00105C1B" w:rsidP="00172AFF">
            <w:pPr>
              <w:spacing w:after="0" w:line="240" w:lineRule="auto"/>
              <w:jc w:val="center"/>
              <w:rPr>
                <w:rFonts w:ascii="Calibri" w:eastAsia="Times New Roman" w:hAnsi="Calibri" w:cs="Calibri"/>
                <w:b/>
                <w:bCs/>
                <w:color w:val="000000"/>
              </w:rPr>
            </w:pPr>
            <w:r w:rsidRPr="004E4002">
              <w:rPr>
                <w:rFonts w:ascii="Calibri" w:eastAsia="Times New Roman" w:hAnsi="Calibri" w:cs="Calibri"/>
                <w:b/>
                <w:bCs/>
                <w:color w:val="000000"/>
              </w:rPr>
              <w:t>Rule Section</w:t>
            </w:r>
          </w:p>
        </w:tc>
        <w:tc>
          <w:tcPr>
            <w:tcW w:w="6911" w:type="dxa"/>
            <w:tcBorders>
              <w:top w:val="single" w:sz="4" w:space="0" w:color="auto"/>
              <w:left w:val="nil"/>
              <w:bottom w:val="single" w:sz="4" w:space="0" w:color="auto"/>
              <w:right w:val="single" w:sz="4" w:space="0" w:color="auto"/>
            </w:tcBorders>
            <w:shd w:val="clear" w:color="000000" w:fill="D9D9D9"/>
            <w:noWrap/>
            <w:vAlign w:val="center"/>
            <w:hideMark/>
          </w:tcPr>
          <w:p w14:paraId="25ED85A2" w14:textId="77777777" w:rsidR="00105C1B" w:rsidRPr="004E4002" w:rsidRDefault="00105C1B" w:rsidP="00172AFF">
            <w:pPr>
              <w:spacing w:after="0" w:line="240" w:lineRule="auto"/>
              <w:jc w:val="center"/>
              <w:rPr>
                <w:rFonts w:ascii="Calibri" w:eastAsia="Times New Roman" w:hAnsi="Calibri" w:cs="Calibri"/>
                <w:b/>
                <w:bCs/>
                <w:color w:val="000000"/>
              </w:rPr>
            </w:pPr>
            <w:r w:rsidRPr="004E4002">
              <w:rPr>
                <w:rFonts w:ascii="Calibri" w:eastAsia="Times New Roman" w:hAnsi="Calibri" w:cs="Calibri"/>
                <w:b/>
                <w:bCs/>
                <w:color w:val="000000"/>
              </w:rPr>
              <w:t>Response</w:t>
            </w:r>
          </w:p>
        </w:tc>
      </w:tr>
      <w:tr w:rsidR="00105C1B" w:rsidRPr="004E4002" w14:paraId="2F9F12DE" w14:textId="77777777" w:rsidTr="00045025">
        <w:trPr>
          <w:trHeight w:val="782"/>
          <w:jc w:val="center"/>
        </w:trPr>
        <w:tc>
          <w:tcPr>
            <w:tcW w:w="4228" w:type="dxa"/>
            <w:tcBorders>
              <w:top w:val="nil"/>
              <w:left w:val="single" w:sz="4" w:space="0" w:color="auto"/>
              <w:bottom w:val="single" w:sz="4" w:space="0" w:color="auto"/>
              <w:right w:val="single" w:sz="4" w:space="0" w:color="auto"/>
            </w:tcBorders>
            <w:shd w:val="clear" w:color="auto" w:fill="auto"/>
          </w:tcPr>
          <w:p w14:paraId="050EE710" w14:textId="2E8F812A" w:rsidR="00105C1B" w:rsidRPr="004E4002" w:rsidRDefault="00502477" w:rsidP="00172AFF">
            <w:pPr>
              <w:spacing w:after="0" w:line="240" w:lineRule="auto"/>
              <w:rPr>
                <w:rFonts w:ascii="Calibri" w:eastAsia="Times New Roman" w:hAnsi="Calibri" w:cs="Calibri"/>
                <w:color w:val="000000"/>
              </w:rPr>
            </w:pPr>
            <w:r>
              <w:t>Why was Section 002, Administrative Appeals, eliminated?</w:t>
            </w:r>
          </w:p>
        </w:tc>
        <w:tc>
          <w:tcPr>
            <w:tcW w:w="1186" w:type="dxa"/>
            <w:tcBorders>
              <w:top w:val="nil"/>
              <w:left w:val="nil"/>
              <w:bottom w:val="single" w:sz="4" w:space="0" w:color="auto"/>
              <w:right w:val="single" w:sz="4" w:space="0" w:color="auto"/>
            </w:tcBorders>
            <w:shd w:val="clear" w:color="auto" w:fill="auto"/>
            <w:noWrap/>
          </w:tcPr>
          <w:p w14:paraId="27C30B55" w14:textId="049816DC" w:rsidR="00105C1B" w:rsidRPr="004E4002" w:rsidRDefault="00B73B0A" w:rsidP="00172AFF">
            <w:pPr>
              <w:spacing w:after="0" w:line="240" w:lineRule="auto"/>
              <w:jc w:val="center"/>
              <w:rPr>
                <w:rFonts w:ascii="Calibri" w:eastAsia="Times New Roman" w:hAnsi="Calibri" w:cs="Calibri"/>
                <w:color w:val="000000"/>
              </w:rPr>
            </w:pPr>
            <w:r>
              <w:rPr>
                <w:rFonts w:ascii="Calibri" w:eastAsia="Times New Roman" w:hAnsi="Calibri" w:cs="Calibri"/>
                <w:color w:val="000000"/>
              </w:rPr>
              <w:t>00</w:t>
            </w:r>
            <w:r w:rsidR="00502477">
              <w:rPr>
                <w:rFonts w:ascii="Calibri" w:eastAsia="Times New Roman" w:hAnsi="Calibri" w:cs="Calibri"/>
                <w:color w:val="000000"/>
              </w:rPr>
              <w:t>2</w:t>
            </w:r>
          </w:p>
        </w:tc>
        <w:tc>
          <w:tcPr>
            <w:tcW w:w="6911" w:type="dxa"/>
            <w:tcBorders>
              <w:top w:val="nil"/>
              <w:left w:val="nil"/>
              <w:bottom w:val="single" w:sz="4" w:space="0" w:color="auto"/>
              <w:right w:val="single" w:sz="4" w:space="0" w:color="auto"/>
            </w:tcBorders>
            <w:shd w:val="clear" w:color="auto" w:fill="auto"/>
          </w:tcPr>
          <w:p w14:paraId="00969067" w14:textId="0C9B84B1" w:rsidR="00C14003" w:rsidRPr="00C14003" w:rsidRDefault="00502477" w:rsidP="00045025">
            <w:pPr>
              <w:pStyle w:val="ListParagraph"/>
              <w:numPr>
                <w:ilvl w:val="0"/>
                <w:numId w:val="9"/>
              </w:numPr>
              <w:spacing w:after="0" w:line="240" w:lineRule="auto"/>
              <w:ind w:left="360"/>
              <w:rPr>
                <w:rFonts w:ascii="Calibri" w:eastAsia="Times New Roman" w:hAnsi="Calibri" w:cs="Calibri"/>
                <w:color w:val="000000"/>
              </w:rPr>
            </w:pPr>
            <w:r>
              <w:t>All appeals are guided by</w:t>
            </w:r>
            <w:r w:rsidRPr="0090034A">
              <w:rPr>
                <w:rFonts w:ascii="Calibri" w:eastAsia="Calibri" w:hAnsi="Calibri" w:cs="Calibri"/>
              </w:rPr>
              <w:t xml:space="preserve"> Title 67, Chapter 52</w:t>
            </w:r>
            <w:r>
              <w:rPr>
                <w:rFonts w:ascii="Calibri" w:eastAsia="Calibri" w:hAnsi="Calibri" w:cs="Calibri"/>
              </w:rPr>
              <w:t xml:space="preserve">, Idaho Code. </w:t>
            </w:r>
            <w:r w:rsidR="00045025">
              <w:rPr>
                <w:rFonts w:ascii="Calibri" w:eastAsia="Calibri" w:hAnsi="Calibri" w:cs="Calibri"/>
              </w:rPr>
              <w:t>This section is not needed.</w:t>
            </w:r>
          </w:p>
        </w:tc>
      </w:tr>
      <w:tr w:rsidR="00990831" w:rsidRPr="004E4002" w14:paraId="15FA6A72" w14:textId="77777777" w:rsidTr="0028688F">
        <w:trPr>
          <w:trHeight w:val="260"/>
          <w:jc w:val="center"/>
        </w:trPr>
        <w:tc>
          <w:tcPr>
            <w:tcW w:w="4228" w:type="dxa"/>
            <w:tcBorders>
              <w:top w:val="nil"/>
              <w:left w:val="single" w:sz="4" w:space="0" w:color="auto"/>
              <w:bottom w:val="single" w:sz="4" w:space="0" w:color="auto"/>
              <w:right w:val="single" w:sz="4" w:space="0" w:color="auto"/>
            </w:tcBorders>
            <w:shd w:val="clear" w:color="auto" w:fill="auto"/>
          </w:tcPr>
          <w:p w14:paraId="2AA6A2E6" w14:textId="179386C4" w:rsidR="00CF33E6" w:rsidRPr="00CF33E6" w:rsidRDefault="00045025" w:rsidP="0028688F">
            <w:pPr>
              <w:spacing w:after="0" w:line="240" w:lineRule="auto"/>
            </w:pPr>
            <w:r>
              <w:rPr>
                <w:rFonts w:ascii="Calibri" w:eastAsia="Calibri" w:hAnsi="Calibri" w:cs="Calibri"/>
              </w:rPr>
              <w:t>How does Subsection 018.02 relate to the actual limits on participation?</w:t>
            </w:r>
          </w:p>
        </w:tc>
        <w:tc>
          <w:tcPr>
            <w:tcW w:w="1186" w:type="dxa"/>
            <w:tcBorders>
              <w:top w:val="nil"/>
              <w:left w:val="nil"/>
              <w:bottom w:val="single" w:sz="4" w:space="0" w:color="auto"/>
              <w:right w:val="single" w:sz="4" w:space="0" w:color="auto"/>
            </w:tcBorders>
            <w:shd w:val="clear" w:color="auto" w:fill="auto"/>
            <w:noWrap/>
          </w:tcPr>
          <w:p w14:paraId="55C4112B" w14:textId="5097D00D" w:rsidR="00990831" w:rsidRPr="004E4002" w:rsidRDefault="00B73B0A" w:rsidP="00172AFF">
            <w:pPr>
              <w:spacing w:after="0" w:line="240" w:lineRule="auto"/>
              <w:jc w:val="center"/>
              <w:rPr>
                <w:rFonts w:ascii="Calibri" w:eastAsia="Times New Roman" w:hAnsi="Calibri" w:cs="Calibri"/>
                <w:color w:val="000000"/>
              </w:rPr>
            </w:pPr>
            <w:r>
              <w:rPr>
                <w:rFonts w:ascii="Calibri" w:eastAsia="Times New Roman" w:hAnsi="Calibri" w:cs="Calibri"/>
                <w:color w:val="000000"/>
              </w:rPr>
              <w:t>01</w:t>
            </w:r>
            <w:r w:rsidR="00045025">
              <w:rPr>
                <w:rFonts w:ascii="Calibri" w:eastAsia="Times New Roman" w:hAnsi="Calibri" w:cs="Calibri"/>
                <w:color w:val="000000"/>
              </w:rPr>
              <w:t>8</w:t>
            </w:r>
          </w:p>
        </w:tc>
        <w:tc>
          <w:tcPr>
            <w:tcW w:w="6911" w:type="dxa"/>
            <w:tcBorders>
              <w:top w:val="nil"/>
              <w:left w:val="nil"/>
              <w:bottom w:val="single" w:sz="4" w:space="0" w:color="auto"/>
              <w:right w:val="single" w:sz="4" w:space="0" w:color="auto"/>
            </w:tcBorders>
            <w:shd w:val="clear" w:color="auto" w:fill="auto"/>
          </w:tcPr>
          <w:p w14:paraId="0EFBFB1A" w14:textId="77777777" w:rsidR="00990831" w:rsidRPr="00045025" w:rsidRDefault="00045025" w:rsidP="00533BB9">
            <w:pPr>
              <w:pStyle w:val="ListParagraph"/>
              <w:numPr>
                <w:ilvl w:val="0"/>
                <w:numId w:val="9"/>
              </w:numPr>
              <w:spacing w:after="0" w:line="240" w:lineRule="auto"/>
              <w:ind w:left="360"/>
              <w:rPr>
                <w:rFonts w:ascii="Calibri" w:eastAsia="Times New Roman" w:hAnsi="Calibri" w:cs="Calibri"/>
                <w:color w:val="000000"/>
              </w:rPr>
            </w:pPr>
            <w:r>
              <w:t xml:space="preserve">The </w:t>
            </w:r>
            <w:r w:rsidRPr="0090034A">
              <w:rPr>
                <w:rFonts w:ascii="Calibri" w:eastAsia="Calibri" w:hAnsi="Calibri" w:cs="Calibri"/>
              </w:rPr>
              <w:t xml:space="preserve">maximum </w:t>
            </w:r>
            <w:r>
              <w:rPr>
                <w:rFonts w:ascii="Calibri" w:eastAsia="Calibri" w:hAnsi="Calibri" w:cs="Calibri"/>
              </w:rPr>
              <w:t>limits</w:t>
            </w:r>
            <w:r w:rsidRPr="0090034A">
              <w:rPr>
                <w:rFonts w:ascii="Calibri" w:eastAsia="Calibri" w:hAnsi="Calibri" w:cs="Calibri"/>
              </w:rPr>
              <w:t xml:space="preserve"> are set by rule, but the Land Board has flexibility to set </w:t>
            </w:r>
            <w:r>
              <w:rPr>
                <w:rFonts w:ascii="Calibri" w:eastAsia="Calibri" w:hAnsi="Calibri" w:cs="Calibri"/>
              </w:rPr>
              <w:t xml:space="preserve">lower </w:t>
            </w:r>
            <w:r w:rsidRPr="0090034A">
              <w:rPr>
                <w:rFonts w:ascii="Calibri" w:eastAsia="Calibri" w:hAnsi="Calibri" w:cs="Calibri"/>
              </w:rPr>
              <w:t xml:space="preserve">actual </w:t>
            </w:r>
            <w:r>
              <w:rPr>
                <w:rFonts w:ascii="Calibri" w:eastAsia="Calibri" w:hAnsi="Calibri" w:cs="Calibri"/>
              </w:rPr>
              <w:t>l</w:t>
            </w:r>
            <w:r w:rsidRPr="0090034A">
              <w:rPr>
                <w:rFonts w:ascii="Calibri" w:eastAsia="Calibri" w:hAnsi="Calibri" w:cs="Calibri"/>
              </w:rPr>
              <w:t>imit</w:t>
            </w:r>
            <w:r>
              <w:rPr>
                <w:rFonts w:ascii="Calibri" w:eastAsia="Calibri" w:hAnsi="Calibri" w:cs="Calibri"/>
              </w:rPr>
              <w:t>s</w:t>
            </w:r>
            <w:r w:rsidRPr="0090034A">
              <w:rPr>
                <w:rFonts w:ascii="Calibri" w:eastAsia="Calibri" w:hAnsi="Calibri" w:cs="Calibri"/>
              </w:rPr>
              <w:t>. This is determined through periodic actuarial analysis. The current limits set by the Land Board in 2020 are 40 acres and $220,000</w:t>
            </w:r>
            <w:r>
              <w:rPr>
                <w:rFonts w:ascii="Calibri" w:eastAsia="Calibri" w:hAnsi="Calibri" w:cs="Calibri"/>
              </w:rPr>
              <w:t xml:space="preserve"> in reclamation costs</w:t>
            </w:r>
            <w:r w:rsidRPr="0090034A">
              <w:rPr>
                <w:rFonts w:ascii="Calibri" w:eastAsia="Calibri" w:hAnsi="Calibri" w:cs="Calibri"/>
              </w:rPr>
              <w:t>.</w:t>
            </w:r>
          </w:p>
          <w:p w14:paraId="5DD380A0" w14:textId="1B6D0958" w:rsidR="00045025" w:rsidRPr="004774EC" w:rsidRDefault="00045025" w:rsidP="00045025">
            <w:pPr>
              <w:pStyle w:val="ListParagraph"/>
              <w:spacing w:after="0" w:line="240" w:lineRule="auto"/>
              <w:ind w:left="360"/>
              <w:rPr>
                <w:rFonts w:ascii="Calibri" w:eastAsia="Times New Roman" w:hAnsi="Calibri" w:cs="Calibri"/>
                <w:color w:val="000000"/>
              </w:rPr>
            </w:pPr>
          </w:p>
        </w:tc>
      </w:tr>
    </w:tbl>
    <w:p w14:paraId="22CF55FB" w14:textId="56444829" w:rsidR="00177FCB" w:rsidRDefault="00177FCB" w:rsidP="0009771B">
      <w:pPr>
        <w:rPr>
          <w:rFonts w:ascii="Calibri" w:eastAsia="Calibri" w:hAnsi="Calibri" w:cs="Times New Roman"/>
          <w:sz w:val="4"/>
          <w:szCs w:val="4"/>
        </w:rPr>
      </w:pPr>
    </w:p>
    <w:p w14:paraId="224A5D71" w14:textId="77777777" w:rsidR="00045025" w:rsidRPr="00045025" w:rsidRDefault="00045025" w:rsidP="00045025">
      <w:pPr>
        <w:rPr>
          <w:rFonts w:ascii="Calibri" w:eastAsia="Calibri" w:hAnsi="Calibri" w:cs="Times New Roman"/>
          <w:sz w:val="4"/>
          <w:szCs w:val="4"/>
        </w:rPr>
      </w:pPr>
    </w:p>
    <w:p w14:paraId="12477CD8" w14:textId="77777777" w:rsidR="00045025" w:rsidRPr="00045025" w:rsidRDefault="00045025" w:rsidP="00045025">
      <w:pPr>
        <w:rPr>
          <w:rFonts w:ascii="Calibri" w:eastAsia="Calibri" w:hAnsi="Calibri" w:cs="Times New Roman"/>
          <w:sz w:val="4"/>
          <w:szCs w:val="4"/>
        </w:rPr>
      </w:pPr>
    </w:p>
    <w:p w14:paraId="5368D48E" w14:textId="77777777" w:rsidR="00045025" w:rsidRPr="00045025" w:rsidRDefault="00045025" w:rsidP="00045025">
      <w:pPr>
        <w:rPr>
          <w:rFonts w:ascii="Calibri" w:eastAsia="Calibri" w:hAnsi="Calibri" w:cs="Times New Roman"/>
          <w:sz w:val="4"/>
          <w:szCs w:val="4"/>
        </w:rPr>
      </w:pPr>
    </w:p>
    <w:p w14:paraId="15ABB33B" w14:textId="77777777" w:rsidR="00045025" w:rsidRPr="00045025" w:rsidRDefault="00045025" w:rsidP="00045025">
      <w:pPr>
        <w:rPr>
          <w:rFonts w:ascii="Calibri" w:eastAsia="Calibri" w:hAnsi="Calibri" w:cs="Times New Roman"/>
          <w:sz w:val="4"/>
          <w:szCs w:val="4"/>
        </w:rPr>
      </w:pPr>
    </w:p>
    <w:p w14:paraId="77503681" w14:textId="77777777" w:rsidR="00045025" w:rsidRPr="00045025" w:rsidRDefault="00045025" w:rsidP="00045025">
      <w:pPr>
        <w:rPr>
          <w:rFonts w:ascii="Calibri" w:eastAsia="Calibri" w:hAnsi="Calibri" w:cs="Times New Roman"/>
          <w:sz w:val="4"/>
          <w:szCs w:val="4"/>
        </w:rPr>
      </w:pPr>
    </w:p>
    <w:p w14:paraId="71F4288A" w14:textId="77777777" w:rsidR="00045025" w:rsidRPr="00045025" w:rsidRDefault="00045025" w:rsidP="00045025">
      <w:pPr>
        <w:rPr>
          <w:rFonts w:ascii="Calibri" w:eastAsia="Calibri" w:hAnsi="Calibri" w:cs="Times New Roman"/>
          <w:sz w:val="4"/>
          <w:szCs w:val="4"/>
        </w:rPr>
      </w:pPr>
    </w:p>
    <w:p w14:paraId="096AE74D" w14:textId="77777777" w:rsidR="00045025" w:rsidRPr="00045025" w:rsidRDefault="00045025" w:rsidP="00045025">
      <w:pPr>
        <w:rPr>
          <w:rFonts w:ascii="Calibri" w:eastAsia="Calibri" w:hAnsi="Calibri" w:cs="Times New Roman"/>
          <w:sz w:val="4"/>
          <w:szCs w:val="4"/>
        </w:rPr>
      </w:pPr>
    </w:p>
    <w:p w14:paraId="3404D184" w14:textId="77777777" w:rsidR="00045025" w:rsidRPr="00045025" w:rsidRDefault="00045025" w:rsidP="00045025">
      <w:pPr>
        <w:rPr>
          <w:rFonts w:ascii="Calibri" w:eastAsia="Calibri" w:hAnsi="Calibri" w:cs="Times New Roman"/>
          <w:sz w:val="4"/>
          <w:szCs w:val="4"/>
        </w:rPr>
      </w:pPr>
    </w:p>
    <w:p w14:paraId="1EF8E1D9" w14:textId="77777777" w:rsidR="00045025" w:rsidRPr="00045025" w:rsidRDefault="00045025" w:rsidP="00045025">
      <w:pPr>
        <w:rPr>
          <w:rFonts w:ascii="Calibri" w:eastAsia="Calibri" w:hAnsi="Calibri" w:cs="Times New Roman"/>
          <w:sz w:val="4"/>
          <w:szCs w:val="4"/>
        </w:rPr>
      </w:pPr>
    </w:p>
    <w:p w14:paraId="228924C6" w14:textId="77777777" w:rsidR="00045025" w:rsidRPr="00045025" w:rsidRDefault="00045025" w:rsidP="00045025">
      <w:pPr>
        <w:rPr>
          <w:rFonts w:ascii="Calibri" w:eastAsia="Calibri" w:hAnsi="Calibri" w:cs="Times New Roman"/>
          <w:sz w:val="4"/>
          <w:szCs w:val="4"/>
        </w:rPr>
      </w:pPr>
    </w:p>
    <w:p w14:paraId="003D6788" w14:textId="77777777" w:rsidR="00045025" w:rsidRPr="00045025" w:rsidRDefault="00045025" w:rsidP="00045025">
      <w:pPr>
        <w:rPr>
          <w:rFonts w:ascii="Calibri" w:eastAsia="Calibri" w:hAnsi="Calibri" w:cs="Times New Roman"/>
          <w:sz w:val="4"/>
          <w:szCs w:val="4"/>
        </w:rPr>
      </w:pPr>
    </w:p>
    <w:p w14:paraId="3B6F20A9" w14:textId="77777777" w:rsidR="00045025" w:rsidRPr="00045025" w:rsidRDefault="00045025" w:rsidP="00045025">
      <w:pPr>
        <w:rPr>
          <w:rFonts w:ascii="Calibri" w:eastAsia="Calibri" w:hAnsi="Calibri" w:cs="Times New Roman"/>
          <w:sz w:val="4"/>
          <w:szCs w:val="4"/>
        </w:rPr>
      </w:pPr>
    </w:p>
    <w:p w14:paraId="397951D6" w14:textId="77777777" w:rsidR="00045025" w:rsidRPr="00045025" w:rsidRDefault="00045025" w:rsidP="00045025">
      <w:pPr>
        <w:rPr>
          <w:rFonts w:ascii="Calibri" w:eastAsia="Calibri" w:hAnsi="Calibri" w:cs="Times New Roman"/>
          <w:sz w:val="4"/>
          <w:szCs w:val="4"/>
        </w:rPr>
      </w:pPr>
    </w:p>
    <w:p w14:paraId="467AF142" w14:textId="77777777" w:rsidR="00045025" w:rsidRPr="00045025" w:rsidRDefault="00045025" w:rsidP="00045025">
      <w:pPr>
        <w:rPr>
          <w:rFonts w:ascii="Calibri" w:eastAsia="Calibri" w:hAnsi="Calibri" w:cs="Times New Roman"/>
          <w:sz w:val="4"/>
          <w:szCs w:val="4"/>
        </w:rPr>
      </w:pPr>
    </w:p>
    <w:p w14:paraId="3978A20D" w14:textId="77777777" w:rsidR="00045025" w:rsidRPr="00045025" w:rsidRDefault="00045025" w:rsidP="00045025">
      <w:pPr>
        <w:rPr>
          <w:rFonts w:ascii="Calibri" w:eastAsia="Calibri" w:hAnsi="Calibri" w:cs="Times New Roman"/>
          <w:sz w:val="4"/>
          <w:szCs w:val="4"/>
        </w:rPr>
      </w:pPr>
    </w:p>
    <w:p w14:paraId="2CF3CCD1" w14:textId="77777777" w:rsidR="00045025" w:rsidRPr="00045025" w:rsidRDefault="00045025" w:rsidP="00045025">
      <w:pPr>
        <w:rPr>
          <w:rFonts w:ascii="Calibri" w:eastAsia="Calibri" w:hAnsi="Calibri" w:cs="Times New Roman"/>
          <w:sz w:val="4"/>
          <w:szCs w:val="4"/>
        </w:rPr>
      </w:pPr>
    </w:p>
    <w:p w14:paraId="0365D57C" w14:textId="77777777" w:rsidR="00045025" w:rsidRPr="00045025" w:rsidRDefault="00045025" w:rsidP="00045025">
      <w:pPr>
        <w:rPr>
          <w:rFonts w:ascii="Calibri" w:eastAsia="Calibri" w:hAnsi="Calibri" w:cs="Times New Roman"/>
          <w:sz w:val="4"/>
          <w:szCs w:val="4"/>
        </w:rPr>
      </w:pPr>
    </w:p>
    <w:p w14:paraId="5FDEBA47" w14:textId="77777777" w:rsidR="00045025" w:rsidRPr="00045025" w:rsidRDefault="00045025" w:rsidP="00045025">
      <w:pPr>
        <w:rPr>
          <w:rFonts w:ascii="Calibri" w:eastAsia="Calibri" w:hAnsi="Calibri" w:cs="Times New Roman"/>
          <w:sz w:val="4"/>
          <w:szCs w:val="4"/>
        </w:rPr>
      </w:pPr>
    </w:p>
    <w:p w14:paraId="6F1955B9" w14:textId="77777777" w:rsidR="00045025" w:rsidRPr="00045025" w:rsidRDefault="00045025" w:rsidP="00045025">
      <w:pPr>
        <w:rPr>
          <w:rFonts w:ascii="Calibri" w:eastAsia="Calibri" w:hAnsi="Calibri" w:cs="Times New Roman"/>
          <w:sz w:val="4"/>
          <w:szCs w:val="4"/>
        </w:rPr>
      </w:pPr>
    </w:p>
    <w:p w14:paraId="5A032DEE" w14:textId="77777777" w:rsidR="00045025" w:rsidRPr="00045025" w:rsidRDefault="00045025" w:rsidP="00045025">
      <w:pPr>
        <w:rPr>
          <w:rFonts w:ascii="Calibri" w:eastAsia="Calibri" w:hAnsi="Calibri" w:cs="Times New Roman"/>
          <w:sz w:val="4"/>
          <w:szCs w:val="4"/>
        </w:rPr>
      </w:pPr>
    </w:p>
    <w:p w14:paraId="4966295B" w14:textId="77777777" w:rsidR="00045025" w:rsidRPr="00045025" w:rsidRDefault="00045025" w:rsidP="00045025">
      <w:pPr>
        <w:rPr>
          <w:rFonts w:ascii="Calibri" w:eastAsia="Calibri" w:hAnsi="Calibri" w:cs="Times New Roman"/>
          <w:sz w:val="4"/>
          <w:szCs w:val="4"/>
        </w:rPr>
      </w:pPr>
    </w:p>
    <w:p w14:paraId="088BD0E4" w14:textId="77777777" w:rsidR="00045025" w:rsidRPr="00045025" w:rsidRDefault="00045025" w:rsidP="00045025">
      <w:pPr>
        <w:rPr>
          <w:rFonts w:ascii="Calibri" w:eastAsia="Calibri" w:hAnsi="Calibri" w:cs="Times New Roman"/>
          <w:sz w:val="4"/>
          <w:szCs w:val="4"/>
        </w:rPr>
      </w:pPr>
    </w:p>
    <w:p w14:paraId="0FF0666C" w14:textId="77777777" w:rsidR="00045025" w:rsidRPr="00045025" w:rsidRDefault="00045025" w:rsidP="00045025">
      <w:pPr>
        <w:rPr>
          <w:rFonts w:ascii="Calibri" w:eastAsia="Calibri" w:hAnsi="Calibri" w:cs="Times New Roman"/>
          <w:sz w:val="4"/>
          <w:szCs w:val="4"/>
        </w:rPr>
      </w:pPr>
    </w:p>
    <w:p w14:paraId="5973AE71" w14:textId="77777777" w:rsidR="00045025" w:rsidRPr="00045025" w:rsidRDefault="00045025" w:rsidP="00045025">
      <w:pPr>
        <w:rPr>
          <w:rFonts w:ascii="Calibri" w:eastAsia="Calibri" w:hAnsi="Calibri" w:cs="Times New Roman"/>
          <w:sz w:val="4"/>
          <w:szCs w:val="4"/>
        </w:rPr>
      </w:pPr>
    </w:p>
    <w:p w14:paraId="559886E5" w14:textId="77777777" w:rsidR="00045025" w:rsidRPr="00045025" w:rsidRDefault="00045025" w:rsidP="00045025">
      <w:pPr>
        <w:rPr>
          <w:rFonts w:ascii="Calibri" w:eastAsia="Calibri" w:hAnsi="Calibri" w:cs="Times New Roman"/>
          <w:sz w:val="4"/>
          <w:szCs w:val="4"/>
        </w:rPr>
      </w:pPr>
    </w:p>
    <w:p w14:paraId="48F0AF29" w14:textId="77777777" w:rsidR="00045025" w:rsidRPr="00045025" w:rsidRDefault="00045025" w:rsidP="00045025">
      <w:pPr>
        <w:rPr>
          <w:rFonts w:ascii="Calibri" w:eastAsia="Calibri" w:hAnsi="Calibri" w:cs="Times New Roman"/>
          <w:sz w:val="4"/>
          <w:szCs w:val="4"/>
        </w:rPr>
      </w:pPr>
    </w:p>
    <w:p w14:paraId="48857B43" w14:textId="77777777" w:rsidR="00045025" w:rsidRPr="00045025" w:rsidRDefault="00045025" w:rsidP="00045025">
      <w:pPr>
        <w:rPr>
          <w:rFonts w:ascii="Calibri" w:eastAsia="Calibri" w:hAnsi="Calibri" w:cs="Times New Roman"/>
          <w:sz w:val="4"/>
          <w:szCs w:val="4"/>
        </w:rPr>
      </w:pPr>
    </w:p>
    <w:p w14:paraId="1CDB7ABA" w14:textId="77777777" w:rsidR="00045025" w:rsidRDefault="00045025" w:rsidP="00045025">
      <w:pPr>
        <w:rPr>
          <w:rFonts w:ascii="Calibri" w:eastAsia="Calibri" w:hAnsi="Calibri" w:cs="Times New Roman"/>
          <w:sz w:val="4"/>
          <w:szCs w:val="4"/>
        </w:rPr>
      </w:pPr>
    </w:p>
    <w:p w14:paraId="372801D7" w14:textId="14DB7025" w:rsidR="00045025" w:rsidRPr="00045025" w:rsidRDefault="00045025" w:rsidP="00045025">
      <w:pPr>
        <w:tabs>
          <w:tab w:val="left" w:pos="1395"/>
        </w:tabs>
        <w:rPr>
          <w:rFonts w:ascii="Calibri" w:eastAsia="Calibri" w:hAnsi="Calibri" w:cs="Times New Roman"/>
          <w:sz w:val="4"/>
          <w:szCs w:val="4"/>
        </w:rPr>
      </w:pPr>
      <w:r>
        <w:rPr>
          <w:rFonts w:ascii="Calibri" w:eastAsia="Calibri" w:hAnsi="Calibri" w:cs="Times New Roman"/>
          <w:sz w:val="4"/>
          <w:szCs w:val="4"/>
        </w:rPr>
        <w:tab/>
      </w:r>
    </w:p>
    <w:sectPr w:rsidR="00045025" w:rsidRPr="00045025" w:rsidSect="00883440">
      <w:footerReference w:type="default" r:id="rId12"/>
      <w:footerReference w:type="first" r:id="rId13"/>
      <w:pgSz w:w="15840" w:h="12240" w:orient="landscape"/>
      <w:pgMar w:top="1080" w:right="720" w:bottom="108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DBA4" w14:textId="77777777" w:rsidR="00F21711" w:rsidRDefault="00F21711" w:rsidP="00B23D27">
      <w:pPr>
        <w:spacing w:after="0" w:line="240" w:lineRule="auto"/>
      </w:pPr>
      <w:r>
        <w:separator/>
      </w:r>
    </w:p>
  </w:endnote>
  <w:endnote w:type="continuationSeparator" w:id="0">
    <w:p w14:paraId="22C0C1DF" w14:textId="77777777" w:rsidR="00F21711" w:rsidRDefault="00F21711" w:rsidP="00B23D27">
      <w:pPr>
        <w:spacing w:after="0" w:line="240" w:lineRule="auto"/>
      </w:pPr>
      <w:r>
        <w:continuationSeparator/>
      </w:r>
    </w:p>
  </w:endnote>
  <w:endnote w:type="continuationNotice" w:id="1">
    <w:p w14:paraId="6F9DFD3A" w14:textId="77777777" w:rsidR="00F21711" w:rsidRDefault="00F21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1194" w14:textId="0B9DC03F" w:rsidR="00E336A1" w:rsidRDefault="00E336A1" w:rsidP="001420D6">
    <w:pPr>
      <w:pStyle w:val="Footer"/>
      <w:tabs>
        <w:tab w:val="clear" w:pos="9360"/>
        <w:tab w:val="right" w:pos="14310"/>
      </w:tabs>
      <w:rPr>
        <w:b/>
        <w:bCs/>
      </w:rPr>
    </w:pPr>
    <w:r>
      <w:t>Comment Summary, docket 20-030</w:t>
    </w:r>
    <w:r w:rsidR="009E3098">
      <w:t>3</w:t>
    </w:r>
    <w:r>
      <w:t>-2</w:t>
    </w:r>
    <w:r w:rsidR="002C53F0">
      <w:t>3</w:t>
    </w:r>
    <w:r>
      <w:t>01</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200E3342" w14:textId="679D1600" w:rsidR="00E336A1" w:rsidRDefault="00E336A1" w:rsidP="001420D6">
    <w:pPr>
      <w:pStyle w:val="Footer"/>
      <w:tabs>
        <w:tab w:val="clear" w:pos="9360"/>
        <w:tab w:val="right" w:pos="14310"/>
      </w:tabs>
    </w:pPr>
    <w:r w:rsidRPr="001420D6">
      <w:t xml:space="preserve">Updated </w:t>
    </w:r>
    <w:r>
      <w:t>8_</w:t>
    </w:r>
    <w:r w:rsidR="009E3098">
      <w:t>17</w:t>
    </w:r>
    <w:r>
      <w:t>_2023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78C" w14:textId="702DE39C" w:rsidR="00E336A1" w:rsidRDefault="00E336A1" w:rsidP="001420D6">
    <w:pPr>
      <w:pStyle w:val="Footer"/>
      <w:tabs>
        <w:tab w:val="clear" w:pos="9360"/>
        <w:tab w:val="right" w:pos="14310"/>
      </w:tabs>
      <w:rPr>
        <w:b/>
        <w:bCs/>
      </w:rPr>
    </w:pPr>
    <w:r>
      <w:t>Comment Summary, docket 20-030</w:t>
    </w:r>
    <w:r w:rsidR="009E3098">
      <w:t>3</w:t>
    </w:r>
    <w:r>
      <w:t>-2301</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3F0B6FA" w14:textId="18DE391B" w:rsidR="00E336A1" w:rsidRPr="001420D6" w:rsidRDefault="00E336A1" w:rsidP="001420D6">
    <w:pPr>
      <w:pStyle w:val="Footer"/>
      <w:tabs>
        <w:tab w:val="clear" w:pos="9360"/>
        <w:tab w:val="right" w:pos="14310"/>
      </w:tabs>
    </w:pPr>
    <w:r w:rsidRPr="001420D6">
      <w:t>Updated 8-</w:t>
    </w:r>
    <w:r w:rsidR="009E3098">
      <w:t>17</w:t>
    </w:r>
    <w:r w:rsidRPr="001420D6">
      <w:t>-202</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9E84" w14:textId="4AC56DFC" w:rsidR="001420D6" w:rsidRDefault="001420D6" w:rsidP="001420D6">
    <w:pPr>
      <w:pStyle w:val="Footer"/>
      <w:tabs>
        <w:tab w:val="clear" w:pos="9360"/>
        <w:tab w:val="right" w:pos="14310"/>
      </w:tabs>
      <w:rPr>
        <w:b/>
        <w:bCs/>
      </w:rPr>
    </w:pPr>
    <w:r>
      <w:t>Comment Summary, docket 20-03</w:t>
    </w:r>
    <w:r w:rsidR="00105C1B">
      <w:t>0</w:t>
    </w:r>
    <w:r>
      <w:t>1-2201</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42C801AC" w14:textId="4CF88D90" w:rsidR="001420D6" w:rsidRDefault="001420D6" w:rsidP="001420D6">
    <w:pPr>
      <w:pStyle w:val="Footer"/>
      <w:tabs>
        <w:tab w:val="clear" w:pos="9360"/>
        <w:tab w:val="right" w:pos="14310"/>
      </w:tabs>
    </w:pPr>
    <w:r w:rsidRPr="001420D6">
      <w:t xml:space="preserve">Updated </w:t>
    </w:r>
    <w:r w:rsidR="006A6D38">
      <w:t>8_03_2023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DA1A" w14:textId="05D91232" w:rsidR="001420D6" w:rsidRDefault="001420D6" w:rsidP="001420D6">
    <w:pPr>
      <w:pStyle w:val="Footer"/>
      <w:tabs>
        <w:tab w:val="clear" w:pos="9360"/>
        <w:tab w:val="right" w:pos="14310"/>
      </w:tabs>
      <w:rPr>
        <w:b/>
        <w:bCs/>
      </w:rPr>
    </w:pPr>
    <w:r>
      <w:t>Comment Summary, docket 20-03</w:t>
    </w:r>
    <w:r w:rsidR="00CF33E6">
      <w:t>0</w:t>
    </w:r>
    <w:r w:rsidR="00045025">
      <w:t>3</w:t>
    </w:r>
    <w:r>
      <w:t>-2</w:t>
    </w:r>
    <w:r w:rsidR="00CF33E6">
      <w:t>3</w:t>
    </w:r>
    <w:r>
      <w:t>01</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5BFB69EE" w14:textId="692DE58C" w:rsidR="001420D6" w:rsidRPr="001420D6" w:rsidRDefault="001420D6" w:rsidP="001420D6">
    <w:pPr>
      <w:pStyle w:val="Footer"/>
      <w:tabs>
        <w:tab w:val="clear" w:pos="9360"/>
        <w:tab w:val="right" w:pos="14310"/>
      </w:tabs>
    </w:pPr>
    <w:r w:rsidRPr="001420D6">
      <w:t>Updated 8-</w:t>
    </w:r>
    <w:r w:rsidR="00045025">
      <w:t>17</w:t>
    </w:r>
    <w:r w:rsidRPr="001420D6">
      <w:t>-202</w:t>
    </w:r>
    <w:r w:rsidR="00CF33E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4FF9" w14:textId="77777777" w:rsidR="00F21711" w:rsidRDefault="00F21711" w:rsidP="00B23D27">
      <w:pPr>
        <w:spacing w:after="0" w:line="240" w:lineRule="auto"/>
      </w:pPr>
      <w:r>
        <w:separator/>
      </w:r>
    </w:p>
  </w:footnote>
  <w:footnote w:type="continuationSeparator" w:id="0">
    <w:p w14:paraId="0548DEAC" w14:textId="77777777" w:rsidR="00F21711" w:rsidRDefault="00F21711" w:rsidP="00B23D27">
      <w:pPr>
        <w:spacing w:after="0" w:line="240" w:lineRule="auto"/>
      </w:pPr>
      <w:r>
        <w:continuationSeparator/>
      </w:r>
    </w:p>
  </w:footnote>
  <w:footnote w:type="continuationNotice" w:id="1">
    <w:p w14:paraId="4406FD7A" w14:textId="77777777" w:rsidR="00F21711" w:rsidRDefault="00F217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72C"/>
    <w:multiLevelType w:val="hybridMultilevel"/>
    <w:tmpl w:val="241C9E58"/>
    <w:lvl w:ilvl="0" w:tplc="1E84E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B0D21"/>
    <w:multiLevelType w:val="hybridMultilevel"/>
    <w:tmpl w:val="9C34F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86955"/>
    <w:multiLevelType w:val="hybridMultilevel"/>
    <w:tmpl w:val="7E64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926B4"/>
    <w:multiLevelType w:val="hybridMultilevel"/>
    <w:tmpl w:val="1416FBB8"/>
    <w:lvl w:ilvl="0" w:tplc="1E84E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B0F0B"/>
    <w:multiLevelType w:val="hybridMultilevel"/>
    <w:tmpl w:val="9EB040A6"/>
    <w:lvl w:ilvl="0" w:tplc="1E84E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81D07"/>
    <w:multiLevelType w:val="hybridMultilevel"/>
    <w:tmpl w:val="AB9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476BA"/>
    <w:multiLevelType w:val="hybridMultilevel"/>
    <w:tmpl w:val="409C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C0907"/>
    <w:multiLevelType w:val="hybridMultilevel"/>
    <w:tmpl w:val="1E92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36C72"/>
    <w:multiLevelType w:val="hybridMultilevel"/>
    <w:tmpl w:val="4A122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B70F0"/>
    <w:multiLevelType w:val="hybridMultilevel"/>
    <w:tmpl w:val="D67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21CD7"/>
    <w:multiLevelType w:val="hybridMultilevel"/>
    <w:tmpl w:val="44528B82"/>
    <w:lvl w:ilvl="0" w:tplc="1E84E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433465">
    <w:abstractNumId w:val="5"/>
  </w:num>
  <w:num w:numId="2" w16cid:durableId="146829461">
    <w:abstractNumId w:val="6"/>
  </w:num>
  <w:num w:numId="3" w16cid:durableId="1892421905">
    <w:abstractNumId w:val="1"/>
  </w:num>
  <w:num w:numId="4" w16cid:durableId="874193899">
    <w:abstractNumId w:val="7"/>
  </w:num>
  <w:num w:numId="5" w16cid:durableId="1144932716">
    <w:abstractNumId w:val="10"/>
  </w:num>
  <w:num w:numId="6" w16cid:durableId="141164573">
    <w:abstractNumId w:val="3"/>
  </w:num>
  <w:num w:numId="7" w16cid:durableId="10646547">
    <w:abstractNumId w:val="0"/>
  </w:num>
  <w:num w:numId="8" w16cid:durableId="1009211863">
    <w:abstractNumId w:val="4"/>
  </w:num>
  <w:num w:numId="9" w16cid:durableId="157118480">
    <w:abstractNumId w:val="8"/>
  </w:num>
  <w:num w:numId="10" w16cid:durableId="1861702575">
    <w:abstractNumId w:val="9"/>
  </w:num>
  <w:num w:numId="11" w16cid:durableId="21404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F8"/>
    <w:rsid w:val="00026DA0"/>
    <w:rsid w:val="00045025"/>
    <w:rsid w:val="000458A1"/>
    <w:rsid w:val="00045FCF"/>
    <w:rsid w:val="00072FA8"/>
    <w:rsid w:val="000831A1"/>
    <w:rsid w:val="0009771B"/>
    <w:rsid w:val="000A4302"/>
    <w:rsid w:val="000B7543"/>
    <w:rsid w:val="000C384A"/>
    <w:rsid w:val="000C7451"/>
    <w:rsid w:val="000F12FB"/>
    <w:rsid w:val="000F2CFF"/>
    <w:rsid w:val="000F6E79"/>
    <w:rsid w:val="0010151C"/>
    <w:rsid w:val="001050A2"/>
    <w:rsid w:val="00105C1B"/>
    <w:rsid w:val="001420D6"/>
    <w:rsid w:val="00145F01"/>
    <w:rsid w:val="00155273"/>
    <w:rsid w:val="00177FCB"/>
    <w:rsid w:val="00183ADE"/>
    <w:rsid w:val="001851F6"/>
    <w:rsid w:val="001A101A"/>
    <w:rsid w:val="001A5092"/>
    <w:rsid w:val="001C3BCB"/>
    <w:rsid w:val="001C4902"/>
    <w:rsid w:val="001D0ED7"/>
    <w:rsid w:val="00200661"/>
    <w:rsid w:val="00233D4C"/>
    <w:rsid w:val="00236969"/>
    <w:rsid w:val="0025415C"/>
    <w:rsid w:val="0028688F"/>
    <w:rsid w:val="002A24B0"/>
    <w:rsid w:val="002C53F0"/>
    <w:rsid w:val="002D20E3"/>
    <w:rsid w:val="002D4CE8"/>
    <w:rsid w:val="002E2A7E"/>
    <w:rsid w:val="00327D99"/>
    <w:rsid w:val="00331DAC"/>
    <w:rsid w:val="003359D0"/>
    <w:rsid w:val="0034235B"/>
    <w:rsid w:val="00343CD9"/>
    <w:rsid w:val="00361820"/>
    <w:rsid w:val="003C6BE4"/>
    <w:rsid w:val="003E0CAE"/>
    <w:rsid w:val="00416AA7"/>
    <w:rsid w:val="00441711"/>
    <w:rsid w:val="004774EC"/>
    <w:rsid w:val="004A2C9F"/>
    <w:rsid w:val="004D5E0C"/>
    <w:rsid w:val="004D6D51"/>
    <w:rsid w:val="004E1A96"/>
    <w:rsid w:val="004E4002"/>
    <w:rsid w:val="00502477"/>
    <w:rsid w:val="00533BB9"/>
    <w:rsid w:val="00570DCB"/>
    <w:rsid w:val="00584BF6"/>
    <w:rsid w:val="005929FD"/>
    <w:rsid w:val="005970FB"/>
    <w:rsid w:val="005A4938"/>
    <w:rsid w:val="005F0DE0"/>
    <w:rsid w:val="006025BE"/>
    <w:rsid w:val="00672A44"/>
    <w:rsid w:val="00683ED2"/>
    <w:rsid w:val="006A1241"/>
    <w:rsid w:val="006A6D38"/>
    <w:rsid w:val="006D54AC"/>
    <w:rsid w:val="006F10B7"/>
    <w:rsid w:val="00760419"/>
    <w:rsid w:val="007736C0"/>
    <w:rsid w:val="007A3B88"/>
    <w:rsid w:val="007C4552"/>
    <w:rsid w:val="007D1CEE"/>
    <w:rsid w:val="007F2FF5"/>
    <w:rsid w:val="007F7AC9"/>
    <w:rsid w:val="00814415"/>
    <w:rsid w:val="008723F9"/>
    <w:rsid w:val="00883440"/>
    <w:rsid w:val="00892D3F"/>
    <w:rsid w:val="0089319F"/>
    <w:rsid w:val="008960AB"/>
    <w:rsid w:val="008E7961"/>
    <w:rsid w:val="00927F16"/>
    <w:rsid w:val="00932C01"/>
    <w:rsid w:val="00954AE2"/>
    <w:rsid w:val="00977FC6"/>
    <w:rsid w:val="00990831"/>
    <w:rsid w:val="0099293E"/>
    <w:rsid w:val="009A7867"/>
    <w:rsid w:val="009C4BC4"/>
    <w:rsid w:val="009E3098"/>
    <w:rsid w:val="00A44E93"/>
    <w:rsid w:val="00A60F23"/>
    <w:rsid w:val="00A71A18"/>
    <w:rsid w:val="00A76903"/>
    <w:rsid w:val="00AA73D7"/>
    <w:rsid w:val="00AD154F"/>
    <w:rsid w:val="00AD1D81"/>
    <w:rsid w:val="00AD5F90"/>
    <w:rsid w:val="00B23D27"/>
    <w:rsid w:val="00B275DF"/>
    <w:rsid w:val="00B73B0A"/>
    <w:rsid w:val="00B9681E"/>
    <w:rsid w:val="00BB1AE8"/>
    <w:rsid w:val="00BB1D44"/>
    <w:rsid w:val="00BE7A05"/>
    <w:rsid w:val="00BF607E"/>
    <w:rsid w:val="00C0326C"/>
    <w:rsid w:val="00C14003"/>
    <w:rsid w:val="00C371D8"/>
    <w:rsid w:val="00C40D46"/>
    <w:rsid w:val="00C41506"/>
    <w:rsid w:val="00C754A2"/>
    <w:rsid w:val="00C910E3"/>
    <w:rsid w:val="00CC1800"/>
    <w:rsid w:val="00CF1225"/>
    <w:rsid w:val="00CF33E6"/>
    <w:rsid w:val="00D07281"/>
    <w:rsid w:val="00D131D0"/>
    <w:rsid w:val="00D41643"/>
    <w:rsid w:val="00D43EA0"/>
    <w:rsid w:val="00D71990"/>
    <w:rsid w:val="00D8658A"/>
    <w:rsid w:val="00DA2E2B"/>
    <w:rsid w:val="00DA346A"/>
    <w:rsid w:val="00DB1740"/>
    <w:rsid w:val="00DC2D40"/>
    <w:rsid w:val="00DC691A"/>
    <w:rsid w:val="00DD26EA"/>
    <w:rsid w:val="00E336A1"/>
    <w:rsid w:val="00E43745"/>
    <w:rsid w:val="00E5167B"/>
    <w:rsid w:val="00E61F2E"/>
    <w:rsid w:val="00E6713B"/>
    <w:rsid w:val="00E8575F"/>
    <w:rsid w:val="00EC4D4D"/>
    <w:rsid w:val="00ED1BAF"/>
    <w:rsid w:val="00ED2F2D"/>
    <w:rsid w:val="00EE4385"/>
    <w:rsid w:val="00F21711"/>
    <w:rsid w:val="00F229DE"/>
    <w:rsid w:val="00F51E43"/>
    <w:rsid w:val="00F97EF4"/>
    <w:rsid w:val="00FA5577"/>
    <w:rsid w:val="00FD0A86"/>
    <w:rsid w:val="00FE2D6D"/>
    <w:rsid w:val="00FE3CF8"/>
    <w:rsid w:val="00FF244B"/>
    <w:rsid w:val="00F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4A6E"/>
  <w15:chartTrackingRefBased/>
  <w15:docId w15:val="{79770915-406D-4183-89D3-389894CC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CEE"/>
    <w:pPr>
      <w:keepNext/>
      <w:spacing w:before="240" w:after="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0E3"/>
    <w:rPr>
      <w:sz w:val="16"/>
      <w:szCs w:val="16"/>
    </w:rPr>
  </w:style>
  <w:style w:type="paragraph" w:styleId="CommentText">
    <w:name w:val="annotation text"/>
    <w:basedOn w:val="Normal"/>
    <w:link w:val="CommentTextChar"/>
    <w:uiPriority w:val="99"/>
    <w:unhideWhenUsed/>
    <w:rsid w:val="00C910E3"/>
    <w:pPr>
      <w:spacing w:line="240" w:lineRule="auto"/>
    </w:pPr>
    <w:rPr>
      <w:sz w:val="20"/>
      <w:szCs w:val="20"/>
    </w:rPr>
  </w:style>
  <w:style w:type="character" w:customStyle="1" w:styleId="CommentTextChar">
    <w:name w:val="Comment Text Char"/>
    <w:basedOn w:val="DefaultParagraphFont"/>
    <w:link w:val="CommentText"/>
    <w:uiPriority w:val="99"/>
    <w:rsid w:val="00C910E3"/>
    <w:rPr>
      <w:sz w:val="20"/>
      <w:szCs w:val="20"/>
    </w:rPr>
  </w:style>
  <w:style w:type="paragraph" w:styleId="CommentSubject">
    <w:name w:val="annotation subject"/>
    <w:basedOn w:val="CommentText"/>
    <w:next w:val="CommentText"/>
    <w:link w:val="CommentSubjectChar"/>
    <w:uiPriority w:val="99"/>
    <w:semiHidden/>
    <w:unhideWhenUsed/>
    <w:rsid w:val="00C910E3"/>
    <w:rPr>
      <w:b/>
      <w:bCs/>
    </w:rPr>
  </w:style>
  <w:style w:type="character" w:customStyle="1" w:styleId="CommentSubjectChar">
    <w:name w:val="Comment Subject Char"/>
    <w:basedOn w:val="CommentTextChar"/>
    <w:link w:val="CommentSubject"/>
    <w:uiPriority w:val="99"/>
    <w:semiHidden/>
    <w:rsid w:val="00C910E3"/>
    <w:rPr>
      <w:b/>
      <w:bCs/>
      <w:sz w:val="20"/>
      <w:szCs w:val="20"/>
    </w:rPr>
  </w:style>
  <w:style w:type="paragraph" w:styleId="BalloonText">
    <w:name w:val="Balloon Text"/>
    <w:basedOn w:val="Normal"/>
    <w:link w:val="BalloonTextChar"/>
    <w:uiPriority w:val="99"/>
    <w:semiHidden/>
    <w:unhideWhenUsed/>
    <w:rsid w:val="00C91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E3"/>
    <w:rPr>
      <w:rFonts w:ascii="Segoe UI" w:hAnsi="Segoe UI" w:cs="Segoe UI"/>
      <w:sz w:val="18"/>
      <w:szCs w:val="18"/>
    </w:rPr>
  </w:style>
  <w:style w:type="character" w:styleId="Hyperlink">
    <w:name w:val="Hyperlink"/>
    <w:basedOn w:val="DefaultParagraphFont"/>
    <w:uiPriority w:val="99"/>
    <w:unhideWhenUsed/>
    <w:rsid w:val="000F2CFF"/>
    <w:rPr>
      <w:color w:val="0000FF"/>
      <w:u w:val="single"/>
    </w:rPr>
  </w:style>
  <w:style w:type="paragraph" w:styleId="ListParagraph">
    <w:name w:val="List Paragraph"/>
    <w:basedOn w:val="Normal"/>
    <w:uiPriority w:val="34"/>
    <w:qFormat/>
    <w:rsid w:val="000F2CFF"/>
    <w:pPr>
      <w:ind w:left="720"/>
      <w:contextualSpacing/>
    </w:pPr>
  </w:style>
  <w:style w:type="paragraph" w:styleId="Header">
    <w:name w:val="header"/>
    <w:basedOn w:val="Normal"/>
    <w:link w:val="HeaderChar"/>
    <w:uiPriority w:val="99"/>
    <w:unhideWhenUsed/>
    <w:rsid w:val="00B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D27"/>
  </w:style>
  <w:style w:type="paragraph" w:styleId="Footer">
    <w:name w:val="footer"/>
    <w:basedOn w:val="Normal"/>
    <w:link w:val="FooterChar"/>
    <w:uiPriority w:val="99"/>
    <w:unhideWhenUsed/>
    <w:rsid w:val="00B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D27"/>
  </w:style>
  <w:style w:type="character" w:customStyle="1" w:styleId="Heading1Char">
    <w:name w:val="Heading 1 Char"/>
    <w:basedOn w:val="DefaultParagraphFont"/>
    <w:link w:val="Heading1"/>
    <w:uiPriority w:val="9"/>
    <w:rsid w:val="007D1CEE"/>
    <w:rPr>
      <w:b/>
    </w:rPr>
  </w:style>
  <w:style w:type="character" w:styleId="UnresolvedMention">
    <w:name w:val="Unresolved Mention"/>
    <w:basedOn w:val="DefaultParagraphFont"/>
    <w:uiPriority w:val="99"/>
    <w:semiHidden/>
    <w:unhideWhenUsed/>
    <w:rsid w:val="005A4938"/>
    <w:rPr>
      <w:color w:val="605E5C"/>
      <w:shd w:val="clear" w:color="auto" w:fill="E1DFDD"/>
    </w:rPr>
  </w:style>
  <w:style w:type="paragraph" w:styleId="Revision">
    <w:name w:val="Revision"/>
    <w:hidden/>
    <w:uiPriority w:val="99"/>
    <w:semiHidden/>
    <w:rsid w:val="00584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l.idaho.gov/rulemaking/docket-20-0303-2301/"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l.idaho.gov/rulemaking/docket-20-0303-23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5397-7F4A-48B4-ABE9-90C10936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Smyth</dc:creator>
  <cp:keywords/>
  <dc:description/>
  <cp:lastModifiedBy>Kristen Gray</cp:lastModifiedBy>
  <cp:revision>2</cp:revision>
  <cp:lastPrinted>2021-08-26T19:20:00Z</cp:lastPrinted>
  <dcterms:created xsi:type="dcterms:W3CDTF">2023-08-23T17:01:00Z</dcterms:created>
  <dcterms:modified xsi:type="dcterms:W3CDTF">2023-08-23T17:01:00Z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