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3D0F" w14:textId="77777777" w:rsidR="007065D3" w:rsidRDefault="0026096B">
      <w:pPr>
        <w:pStyle w:val="BodyText"/>
        <w:ind w:left="3812"/>
        <w:rPr>
          <w:rFonts w:ascii="Times New Roman"/>
          <w:sz w:val="20"/>
        </w:rPr>
      </w:pPr>
      <w:r>
        <w:rPr>
          <w:rFonts w:ascii="Times New Roman"/>
          <w:noProof/>
          <w:sz w:val="20"/>
        </w:rPr>
        <w:drawing>
          <wp:inline distT="0" distB="0" distL="0" distR="0" wp14:anchorId="280F120A" wp14:editId="6533C2BA">
            <wp:extent cx="1215049" cy="7372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5049" cy="737234"/>
                    </a:xfrm>
                    <a:prstGeom prst="rect">
                      <a:avLst/>
                    </a:prstGeom>
                  </pic:spPr>
                </pic:pic>
              </a:graphicData>
            </a:graphic>
          </wp:inline>
        </w:drawing>
      </w:r>
    </w:p>
    <w:p w14:paraId="147E2EA9" w14:textId="12E4DD32" w:rsidR="007065D3" w:rsidRDefault="001D50A7">
      <w:pPr>
        <w:spacing w:before="25"/>
        <w:ind w:left="3547" w:right="3566"/>
        <w:jc w:val="center"/>
        <w:rPr>
          <w:b/>
          <w:sz w:val="28"/>
        </w:rPr>
      </w:pPr>
      <w:r>
        <w:rPr>
          <w:b/>
          <w:sz w:val="28"/>
        </w:rPr>
        <w:t xml:space="preserve">Vandals </w:t>
      </w:r>
      <w:r w:rsidR="0026096B">
        <w:rPr>
          <w:b/>
          <w:sz w:val="28"/>
        </w:rPr>
        <w:t>Won</w:t>
      </w:r>
      <w:r>
        <w:rPr>
          <w:b/>
          <w:sz w:val="28"/>
        </w:rPr>
        <w:t xml:space="preserve"> Acquisition Fact Sheet</w:t>
      </w:r>
    </w:p>
    <w:p w14:paraId="47D0C470" w14:textId="77777777" w:rsidR="007065D3" w:rsidRDefault="007065D3">
      <w:pPr>
        <w:pStyle w:val="BodyText"/>
        <w:spacing w:before="1"/>
        <w:rPr>
          <w:b/>
        </w:rPr>
      </w:pPr>
    </w:p>
    <w:p w14:paraId="2F0CDB9F" w14:textId="3D4A79EC" w:rsidR="007065D3" w:rsidRDefault="0026096B">
      <w:pPr>
        <w:pStyle w:val="BodyText"/>
        <w:ind w:left="100" w:right="102"/>
      </w:pPr>
      <w:r>
        <w:t xml:space="preserve">Idaho Department of Lands (IDL), as part of the State Board of Land Commissioners (Land Board), approved Strategic Reinvestment Plan, purchased </w:t>
      </w:r>
      <w:r w:rsidR="00B16C94">
        <w:t>almost</w:t>
      </w:r>
      <w:r>
        <w:t xml:space="preserve"> </w:t>
      </w:r>
      <w:r w:rsidR="001D50A7">
        <w:t>18</w:t>
      </w:r>
      <w:r>
        <w:t>,0</w:t>
      </w:r>
      <w:r w:rsidR="00B16C94">
        <w:t>5</w:t>
      </w:r>
      <w:r>
        <w:t>0 acres of timberland in five northern Idaho counties. The land was purchased using endowment procee</w:t>
      </w:r>
      <w:r>
        <w:t>ds from the sale of residential and commercial properties. The newly purchased timberland will be managed to generate revenue for public education and other endowments and remain open to the public for recreation.</w:t>
      </w:r>
    </w:p>
    <w:p w14:paraId="1B5241EC" w14:textId="77777777" w:rsidR="007065D3" w:rsidRDefault="007065D3">
      <w:pPr>
        <w:pStyle w:val="BodyText"/>
      </w:pPr>
    </w:p>
    <w:p w14:paraId="3DB7C86F" w14:textId="77777777" w:rsidR="007065D3" w:rsidRDefault="0026096B">
      <w:pPr>
        <w:pStyle w:val="Heading1"/>
      </w:pPr>
      <w:r>
        <w:t>Who sold the property?</w:t>
      </w:r>
    </w:p>
    <w:p w14:paraId="4E913206" w14:textId="5C429B92" w:rsidR="007065D3" w:rsidRDefault="0026096B">
      <w:pPr>
        <w:pStyle w:val="BodyText"/>
        <w:spacing w:before="1"/>
        <w:ind w:left="100" w:right="304"/>
      </w:pPr>
      <w:r>
        <w:t>The seller was Mol</w:t>
      </w:r>
      <w:r>
        <w:t>pus Woodlands Group, representing th</w:t>
      </w:r>
      <w:r w:rsidR="001D50A7">
        <w:t>e Carmona Tristar, LLC</w:t>
      </w:r>
      <w:r>
        <w:t xml:space="preserve"> ownership group. </w:t>
      </w:r>
    </w:p>
    <w:p w14:paraId="3338F901" w14:textId="77777777" w:rsidR="007065D3" w:rsidRDefault="007065D3">
      <w:pPr>
        <w:pStyle w:val="BodyText"/>
        <w:spacing w:before="10"/>
        <w:rPr>
          <w:sz w:val="21"/>
        </w:rPr>
      </w:pPr>
    </w:p>
    <w:p w14:paraId="2BB579A0" w14:textId="77777777" w:rsidR="007065D3" w:rsidRDefault="0026096B">
      <w:pPr>
        <w:pStyle w:val="Heading1"/>
      </w:pPr>
      <w:r>
        <w:t>What was the total acreage and purchase price?</w:t>
      </w:r>
    </w:p>
    <w:p w14:paraId="6C07B5EE" w14:textId="4F078EA3" w:rsidR="007065D3" w:rsidRDefault="0026096B">
      <w:pPr>
        <w:pStyle w:val="BodyText"/>
        <w:ind w:left="100"/>
      </w:pPr>
      <w:r>
        <w:t xml:space="preserve">IDL acquired a total of </w:t>
      </w:r>
      <w:r w:rsidR="001D50A7">
        <w:t>18,047</w:t>
      </w:r>
      <w:r w:rsidR="00B16C94">
        <w:t>.77</w:t>
      </w:r>
      <w:r>
        <w:t xml:space="preserve"> acres at an overall purchase price of $</w:t>
      </w:r>
      <w:r w:rsidR="001D50A7">
        <w:t>50,439,200</w:t>
      </w:r>
      <w:r>
        <w:t>.</w:t>
      </w:r>
    </w:p>
    <w:p w14:paraId="7EDB5E3F" w14:textId="77777777" w:rsidR="007065D3" w:rsidRDefault="007065D3">
      <w:pPr>
        <w:pStyle w:val="BodyText"/>
      </w:pPr>
    </w:p>
    <w:p w14:paraId="40BBA194" w14:textId="77777777" w:rsidR="007065D3" w:rsidRDefault="0026096B">
      <w:pPr>
        <w:pStyle w:val="Heading1"/>
      </w:pPr>
      <w:r>
        <w:t>Where is the land located?</w:t>
      </w:r>
    </w:p>
    <w:p w14:paraId="79328CFE" w14:textId="77777777" w:rsidR="007065D3" w:rsidRDefault="0026096B">
      <w:pPr>
        <w:pStyle w:val="BodyText"/>
        <w:ind w:left="100" w:right="157"/>
      </w:pPr>
      <w:r>
        <w:t>The newly acquired</w:t>
      </w:r>
      <w:r>
        <w:t xml:space="preserve"> timberlands are located in five northern counties and are adjacent to and intermingled with existing endowment timberlands. The following is a breakdown of the newly acquired timberlands and the associated tax impact by county:</w:t>
      </w:r>
    </w:p>
    <w:p w14:paraId="2357F17F" w14:textId="77777777" w:rsidR="007065D3" w:rsidRDefault="007065D3">
      <w:pPr>
        <w:pStyle w:val="BodyText"/>
        <w:spacing w:before="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261"/>
        <w:gridCol w:w="1619"/>
      </w:tblGrid>
      <w:tr w:rsidR="007065D3" w14:paraId="5A38322B" w14:textId="77777777" w:rsidTr="001D50A7">
        <w:trPr>
          <w:trHeight w:hRule="exact" w:val="279"/>
        </w:trPr>
        <w:tc>
          <w:tcPr>
            <w:tcW w:w="1795" w:type="dxa"/>
            <w:shd w:val="clear" w:color="auto" w:fill="D9D9D9"/>
          </w:tcPr>
          <w:p w14:paraId="7FD86D79" w14:textId="77777777" w:rsidR="007065D3" w:rsidRDefault="0026096B">
            <w:pPr>
              <w:pStyle w:val="TableParagraph"/>
              <w:ind w:left="103"/>
              <w:jc w:val="left"/>
              <w:rPr>
                <w:b/>
              </w:rPr>
            </w:pPr>
            <w:r>
              <w:rPr>
                <w:b/>
              </w:rPr>
              <w:t>County</w:t>
            </w:r>
          </w:p>
        </w:tc>
        <w:tc>
          <w:tcPr>
            <w:tcW w:w="1261" w:type="dxa"/>
            <w:shd w:val="clear" w:color="auto" w:fill="D9D9D9"/>
          </w:tcPr>
          <w:p w14:paraId="2CECC115" w14:textId="77777777" w:rsidR="007065D3" w:rsidRDefault="0026096B">
            <w:pPr>
              <w:pStyle w:val="TableParagraph"/>
              <w:ind w:right="126"/>
              <w:rPr>
                <w:b/>
              </w:rPr>
            </w:pPr>
            <w:r>
              <w:rPr>
                <w:b/>
              </w:rPr>
              <w:t>Total Acres</w:t>
            </w:r>
          </w:p>
        </w:tc>
        <w:tc>
          <w:tcPr>
            <w:tcW w:w="1619" w:type="dxa"/>
            <w:shd w:val="clear" w:color="auto" w:fill="D9D9D9"/>
          </w:tcPr>
          <w:p w14:paraId="11B7FB81" w14:textId="77777777" w:rsidR="007065D3" w:rsidRDefault="0026096B">
            <w:pPr>
              <w:pStyle w:val="TableParagraph"/>
              <w:ind w:left="103"/>
              <w:jc w:val="left"/>
              <w:rPr>
                <w:b/>
              </w:rPr>
            </w:pPr>
            <w:r>
              <w:rPr>
                <w:b/>
              </w:rPr>
              <w:t xml:space="preserve">Annual </w:t>
            </w:r>
            <w:r>
              <w:rPr>
                <w:b/>
              </w:rPr>
              <w:t>Taxes</w:t>
            </w:r>
          </w:p>
        </w:tc>
      </w:tr>
      <w:tr w:rsidR="007065D3" w14:paraId="5B837157" w14:textId="77777777" w:rsidTr="001D50A7">
        <w:trPr>
          <w:trHeight w:hRule="exact" w:val="278"/>
        </w:trPr>
        <w:tc>
          <w:tcPr>
            <w:tcW w:w="1795" w:type="dxa"/>
          </w:tcPr>
          <w:p w14:paraId="38E97F34" w14:textId="77777777" w:rsidR="007065D3" w:rsidRDefault="0026096B">
            <w:pPr>
              <w:pStyle w:val="TableParagraph"/>
              <w:ind w:left="103"/>
              <w:jc w:val="left"/>
            </w:pPr>
            <w:r>
              <w:t>Boundary</w:t>
            </w:r>
          </w:p>
        </w:tc>
        <w:tc>
          <w:tcPr>
            <w:tcW w:w="1261" w:type="dxa"/>
          </w:tcPr>
          <w:p w14:paraId="70C1B0B9" w14:textId="5CE03A3F" w:rsidR="007065D3" w:rsidRDefault="001D50A7">
            <w:pPr>
              <w:pStyle w:val="TableParagraph"/>
              <w:ind w:right="100"/>
            </w:pPr>
            <w:r>
              <w:t>3,216.52</w:t>
            </w:r>
          </w:p>
        </w:tc>
        <w:tc>
          <w:tcPr>
            <w:tcW w:w="1619" w:type="dxa"/>
          </w:tcPr>
          <w:p w14:paraId="51A5AA4F" w14:textId="2DA020B5" w:rsidR="007065D3" w:rsidRDefault="0026096B">
            <w:pPr>
              <w:pStyle w:val="TableParagraph"/>
              <w:ind w:right="103"/>
            </w:pPr>
            <w:r>
              <w:t>$</w:t>
            </w:r>
            <w:r w:rsidR="001D50A7">
              <w:t>6,779</w:t>
            </w:r>
          </w:p>
        </w:tc>
      </w:tr>
      <w:tr w:rsidR="007065D3" w14:paraId="55ECE175" w14:textId="77777777" w:rsidTr="001D50A7">
        <w:trPr>
          <w:trHeight w:hRule="exact" w:val="278"/>
        </w:trPr>
        <w:tc>
          <w:tcPr>
            <w:tcW w:w="1795" w:type="dxa"/>
          </w:tcPr>
          <w:p w14:paraId="5C9FEBDF" w14:textId="77777777" w:rsidR="007065D3" w:rsidRDefault="0026096B">
            <w:pPr>
              <w:pStyle w:val="TableParagraph"/>
              <w:ind w:left="103"/>
              <w:jc w:val="left"/>
            </w:pPr>
            <w:r>
              <w:t>Bonner</w:t>
            </w:r>
          </w:p>
        </w:tc>
        <w:tc>
          <w:tcPr>
            <w:tcW w:w="1261" w:type="dxa"/>
          </w:tcPr>
          <w:p w14:paraId="7E28BEF9" w14:textId="394249C6" w:rsidR="007065D3" w:rsidRDefault="001D50A7">
            <w:pPr>
              <w:pStyle w:val="TableParagraph"/>
              <w:ind w:right="99"/>
            </w:pPr>
            <w:r>
              <w:t>4005.09</w:t>
            </w:r>
          </w:p>
        </w:tc>
        <w:tc>
          <w:tcPr>
            <w:tcW w:w="1619" w:type="dxa"/>
          </w:tcPr>
          <w:p w14:paraId="7C33450C" w14:textId="79621A8E" w:rsidR="007065D3" w:rsidRDefault="0026096B">
            <w:pPr>
              <w:pStyle w:val="TableParagraph"/>
              <w:ind w:right="102"/>
            </w:pPr>
            <w:r>
              <w:t>$</w:t>
            </w:r>
            <w:r w:rsidR="001D50A7">
              <w:t>8,608</w:t>
            </w:r>
          </w:p>
        </w:tc>
      </w:tr>
      <w:tr w:rsidR="007065D3" w14:paraId="69D7F064" w14:textId="77777777" w:rsidTr="001D50A7">
        <w:trPr>
          <w:trHeight w:hRule="exact" w:val="278"/>
        </w:trPr>
        <w:tc>
          <w:tcPr>
            <w:tcW w:w="1795" w:type="dxa"/>
          </w:tcPr>
          <w:p w14:paraId="7B922855" w14:textId="77777777" w:rsidR="007065D3" w:rsidRDefault="0026096B">
            <w:pPr>
              <w:pStyle w:val="TableParagraph"/>
              <w:ind w:left="103"/>
              <w:jc w:val="left"/>
            </w:pPr>
            <w:r>
              <w:t>Benewah</w:t>
            </w:r>
          </w:p>
        </w:tc>
        <w:tc>
          <w:tcPr>
            <w:tcW w:w="1261" w:type="dxa"/>
          </w:tcPr>
          <w:p w14:paraId="3122351F" w14:textId="492ED698" w:rsidR="007065D3" w:rsidRDefault="001D50A7">
            <w:pPr>
              <w:pStyle w:val="TableParagraph"/>
              <w:ind w:right="101"/>
            </w:pPr>
            <w:r>
              <w:t>4,563.73</w:t>
            </w:r>
          </w:p>
        </w:tc>
        <w:tc>
          <w:tcPr>
            <w:tcW w:w="1619" w:type="dxa"/>
          </w:tcPr>
          <w:p w14:paraId="085CC400" w14:textId="0F00C354" w:rsidR="007065D3" w:rsidRDefault="0026096B">
            <w:pPr>
              <w:pStyle w:val="TableParagraph"/>
              <w:ind w:right="103"/>
            </w:pPr>
            <w:r>
              <w:t>$</w:t>
            </w:r>
            <w:r w:rsidR="001D50A7">
              <w:t>14,081</w:t>
            </w:r>
          </w:p>
        </w:tc>
      </w:tr>
      <w:tr w:rsidR="007065D3" w14:paraId="18BE7C36" w14:textId="77777777" w:rsidTr="001D50A7">
        <w:trPr>
          <w:trHeight w:hRule="exact" w:val="278"/>
        </w:trPr>
        <w:tc>
          <w:tcPr>
            <w:tcW w:w="1795" w:type="dxa"/>
          </w:tcPr>
          <w:p w14:paraId="1C2E159B" w14:textId="77777777" w:rsidR="007065D3" w:rsidRDefault="0026096B">
            <w:pPr>
              <w:pStyle w:val="TableParagraph"/>
              <w:ind w:left="103"/>
              <w:jc w:val="left"/>
            </w:pPr>
            <w:r>
              <w:t>Shoshone</w:t>
            </w:r>
          </w:p>
        </w:tc>
        <w:tc>
          <w:tcPr>
            <w:tcW w:w="1261" w:type="dxa"/>
          </w:tcPr>
          <w:p w14:paraId="2EFF96A7" w14:textId="7E336B08" w:rsidR="007065D3" w:rsidRDefault="001D50A7">
            <w:pPr>
              <w:pStyle w:val="TableParagraph"/>
              <w:ind w:right="100"/>
            </w:pPr>
            <w:r>
              <w:t>6,222.43</w:t>
            </w:r>
          </w:p>
        </w:tc>
        <w:tc>
          <w:tcPr>
            <w:tcW w:w="1619" w:type="dxa"/>
          </w:tcPr>
          <w:p w14:paraId="1E43591D" w14:textId="16F43003" w:rsidR="007065D3" w:rsidRDefault="0026096B">
            <w:pPr>
              <w:pStyle w:val="TableParagraph"/>
              <w:ind w:right="103"/>
            </w:pPr>
            <w:r>
              <w:t>$</w:t>
            </w:r>
            <w:r w:rsidR="001D50A7">
              <w:t>16,584</w:t>
            </w:r>
          </w:p>
        </w:tc>
      </w:tr>
      <w:tr w:rsidR="007065D3" w14:paraId="3CBB1A18" w14:textId="77777777" w:rsidTr="001D50A7">
        <w:trPr>
          <w:trHeight w:hRule="exact" w:val="278"/>
        </w:trPr>
        <w:tc>
          <w:tcPr>
            <w:tcW w:w="1795" w:type="dxa"/>
          </w:tcPr>
          <w:p w14:paraId="5EAFF2D1" w14:textId="5B7C6B4A" w:rsidR="007065D3" w:rsidRDefault="001D50A7">
            <w:pPr>
              <w:pStyle w:val="TableParagraph"/>
              <w:ind w:left="103"/>
              <w:jc w:val="left"/>
            </w:pPr>
            <w:r>
              <w:t>Kootenai</w:t>
            </w:r>
          </w:p>
        </w:tc>
        <w:tc>
          <w:tcPr>
            <w:tcW w:w="1261" w:type="dxa"/>
          </w:tcPr>
          <w:p w14:paraId="1F03158B" w14:textId="44F39989" w:rsidR="007065D3" w:rsidRDefault="001D50A7">
            <w:pPr>
              <w:pStyle w:val="TableParagraph"/>
              <w:ind w:right="100"/>
            </w:pPr>
            <w:r>
              <w:t>40</w:t>
            </w:r>
          </w:p>
        </w:tc>
        <w:tc>
          <w:tcPr>
            <w:tcW w:w="1619" w:type="dxa"/>
          </w:tcPr>
          <w:p w14:paraId="545E3243" w14:textId="1BE91959" w:rsidR="007065D3" w:rsidRDefault="0026096B">
            <w:pPr>
              <w:pStyle w:val="TableParagraph"/>
              <w:ind w:right="103"/>
            </w:pPr>
            <w:r>
              <w:t>$</w:t>
            </w:r>
            <w:r w:rsidR="001D50A7">
              <w:t>88</w:t>
            </w:r>
          </w:p>
        </w:tc>
      </w:tr>
      <w:tr w:rsidR="007065D3" w14:paraId="426527EC" w14:textId="77777777" w:rsidTr="001D50A7">
        <w:trPr>
          <w:trHeight w:hRule="exact" w:val="278"/>
        </w:trPr>
        <w:tc>
          <w:tcPr>
            <w:tcW w:w="1795" w:type="dxa"/>
          </w:tcPr>
          <w:p w14:paraId="70E4D7D1" w14:textId="77777777" w:rsidR="007065D3" w:rsidRDefault="0026096B">
            <w:pPr>
              <w:pStyle w:val="TableParagraph"/>
              <w:ind w:left="1127"/>
              <w:jc w:val="left"/>
              <w:rPr>
                <w:b/>
              </w:rPr>
            </w:pPr>
            <w:r>
              <w:rPr>
                <w:b/>
              </w:rPr>
              <w:t>Totals</w:t>
            </w:r>
          </w:p>
        </w:tc>
        <w:tc>
          <w:tcPr>
            <w:tcW w:w="1261" w:type="dxa"/>
          </w:tcPr>
          <w:p w14:paraId="1638699C" w14:textId="1542C0D4" w:rsidR="007065D3" w:rsidRDefault="001D50A7">
            <w:pPr>
              <w:pStyle w:val="TableParagraph"/>
              <w:ind w:right="100"/>
              <w:rPr>
                <w:b/>
              </w:rPr>
            </w:pPr>
            <w:r>
              <w:rPr>
                <w:b/>
              </w:rPr>
              <w:t>18,047.77</w:t>
            </w:r>
          </w:p>
        </w:tc>
        <w:tc>
          <w:tcPr>
            <w:tcW w:w="1619" w:type="dxa"/>
          </w:tcPr>
          <w:p w14:paraId="0D3842BE" w14:textId="5832F042" w:rsidR="007065D3" w:rsidRDefault="0026096B">
            <w:pPr>
              <w:pStyle w:val="TableParagraph"/>
              <w:ind w:right="103"/>
              <w:rPr>
                <w:b/>
              </w:rPr>
            </w:pPr>
            <w:r>
              <w:rPr>
                <w:b/>
              </w:rPr>
              <w:t>$</w:t>
            </w:r>
            <w:r w:rsidR="001D50A7">
              <w:rPr>
                <w:b/>
              </w:rPr>
              <w:t>46,140</w:t>
            </w:r>
          </w:p>
        </w:tc>
      </w:tr>
    </w:tbl>
    <w:p w14:paraId="3DB96BB7" w14:textId="77777777" w:rsidR="007065D3" w:rsidRDefault="007065D3">
      <w:pPr>
        <w:pStyle w:val="BodyText"/>
        <w:spacing w:before="4"/>
        <w:rPr>
          <w:sz w:val="17"/>
        </w:rPr>
      </w:pPr>
    </w:p>
    <w:p w14:paraId="27DD90BB" w14:textId="77777777" w:rsidR="007065D3" w:rsidRDefault="0026096B">
      <w:pPr>
        <w:pStyle w:val="Heading1"/>
        <w:spacing w:line="268" w:lineRule="exact"/>
      </w:pPr>
      <w:r>
        <w:t>What endowment beneficiaries now own the land?</w:t>
      </w:r>
    </w:p>
    <w:p w14:paraId="7A060DAD" w14:textId="3165A20A" w:rsidR="007065D3" w:rsidRDefault="0026096B">
      <w:pPr>
        <w:pStyle w:val="ListParagraph"/>
        <w:numPr>
          <w:ilvl w:val="0"/>
          <w:numId w:val="1"/>
        </w:numPr>
        <w:tabs>
          <w:tab w:val="left" w:pos="732"/>
        </w:tabs>
        <w:spacing w:line="279" w:lineRule="exact"/>
        <w:ind w:hanging="271"/>
      </w:pPr>
      <w:r>
        <w:t xml:space="preserve">Public Schools </w:t>
      </w:r>
      <w:r w:rsidR="00A91247">
        <w:t>15,142.08</w:t>
      </w:r>
      <w:r>
        <w:rPr>
          <w:spacing w:val="-7"/>
        </w:rPr>
        <w:t xml:space="preserve"> </w:t>
      </w:r>
      <w:r>
        <w:t>acres</w:t>
      </w:r>
    </w:p>
    <w:p w14:paraId="5547AB72" w14:textId="3B425023" w:rsidR="007065D3" w:rsidRDefault="0026096B">
      <w:pPr>
        <w:pStyle w:val="ListParagraph"/>
        <w:numPr>
          <w:ilvl w:val="0"/>
          <w:numId w:val="1"/>
        </w:numPr>
        <w:tabs>
          <w:tab w:val="left" w:pos="732"/>
        </w:tabs>
        <w:ind w:hanging="271"/>
      </w:pPr>
      <w:r>
        <w:t xml:space="preserve">State Hospital South </w:t>
      </w:r>
      <w:r w:rsidR="00A91247">
        <w:t>1,118.96</w:t>
      </w:r>
      <w:r>
        <w:rPr>
          <w:spacing w:val="-11"/>
        </w:rPr>
        <w:t xml:space="preserve"> </w:t>
      </w:r>
      <w:r>
        <w:t>acres</w:t>
      </w:r>
    </w:p>
    <w:p w14:paraId="39890929" w14:textId="4EE9FDEB" w:rsidR="007065D3" w:rsidRDefault="0026096B">
      <w:pPr>
        <w:pStyle w:val="ListParagraph"/>
        <w:numPr>
          <w:ilvl w:val="0"/>
          <w:numId w:val="1"/>
        </w:numPr>
        <w:tabs>
          <w:tab w:val="left" w:pos="732"/>
        </w:tabs>
        <w:ind w:hanging="271"/>
      </w:pPr>
      <w:r>
        <w:t xml:space="preserve">Normal Schools (Lewis-Clark State College, Idaho State University) </w:t>
      </w:r>
      <w:r w:rsidR="00A91247">
        <w:t>1,786.73</w:t>
      </w:r>
      <w:r>
        <w:rPr>
          <w:spacing w:val="-25"/>
        </w:rPr>
        <w:t xml:space="preserve"> </w:t>
      </w:r>
      <w:r>
        <w:t>acres</w:t>
      </w:r>
    </w:p>
    <w:p w14:paraId="59312E14" w14:textId="77777777" w:rsidR="007065D3" w:rsidRDefault="007065D3">
      <w:pPr>
        <w:pStyle w:val="BodyText"/>
      </w:pPr>
    </w:p>
    <w:p w14:paraId="4EC19A58" w14:textId="77777777" w:rsidR="007065D3" w:rsidRDefault="0026096B">
      <w:pPr>
        <w:pStyle w:val="Heading1"/>
      </w:pPr>
      <w:r>
        <w:t>Where did the money to buy the land come from?</w:t>
      </w:r>
    </w:p>
    <w:p w14:paraId="744AFD14" w14:textId="77777777" w:rsidR="007065D3" w:rsidRDefault="0026096B">
      <w:pPr>
        <w:ind w:left="100" w:right="102"/>
        <w:rPr>
          <w:sz w:val="21"/>
        </w:rPr>
      </w:pPr>
      <w:r>
        <w:rPr>
          <w:sz w:val="21"/>
        </w:rPr>
        <w:t>The money for acquiring timberland comes from endowment proceeds from the sale of resident</w:t>
      </w:r>
      <w:r>
        <w:rPr>
          <w:sz w:val="21"/>
        </w:rPr>
        <w:t>ial and commercial properties. Proceeds from the sale of residential and commercial properties are deposited in the Land Bank for up to five years to be reinvested in timberland as approved in the Land Board’s Strategic Reinvestment Plan. No general or oth</w:t>
      </w:r>
      <w:r>
        <w:rPr>
          <w:sz w:val="21"/>
        </w:rPr>
        <w:t>er state funds are used to purchase these lands.</w:t>
      </w:r>
    </w:p>
    <w:p w14:paraId="7BDBE3AB" w14:textId="77777777" w:rsidR="007065D3" w:rsidRDefault="007065D3">
      <w:pPr>
        <w:pStyle w:val="BodyText"/>
        <w:spacing w:before="6"/>
        <w:rPr>
          <w:sz w:val="25"/>
        </w:rPr>
      </w:pPr>
    </w:p>
    <w:p w14:paraId="3DBA1D9E" w14:textId="31C73B45" w:rsidR="007065D3" w:rsidRDefault="0026096B">
      <w:pPr>
        <w:pStyle w:val="BodyText"/>
        <w:spacing w:before="56"/>
        <w:ind w:left="100"/>
      </w:pPr>
      <w:r>
        <w:t xml:space="preserve">January </w:t>
      </w:r>
      <w:r w:rsidR="00870056">
        <w:t>18</w:t>
      </w:r>
      <w:r>
        <w:t>, 20</w:t>
      </w:r>
      <w:r w:rsidR="00A91247">
        <w:t>23</w:t>
      </w:r>
    </w:p>
    <w:sectPr w:rsidR="007065D3">
      <w:type w:val="continuous"/>
      <w:pgSz w:w="12240" w:h="15840"/>
      <w:pgMar w:top="10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14916"/>
    <w:multiLevelType w:val="hybridMultilevel"/>
    <w:tmpl w:val="2EBEA5C8"/>
    <w:lvl w:ilvl="0" w:tplc="8C8EC928">
      <w:numFmt w:val="bullet"/>
      <w:lvlText w:val=""/>
      <w:lvlJc w:val="left"/>
      <w:pPr>
        <w:ind w:left="731" w:hanging="272"/>
      </w:pPr>
      <w:rPr>
        <w:rFonts w:ascii="Symbol" w:eastAsia="Symbol" w:hAnsi="Symbol" w:cs="Symbol" w:hint="default"/>
        <w:w w:val="100"/>
        <w:sz w:val="22"/>
        <w:szCs w:val="22"/>
      </w:rPr>
    </w:lvl>
    <w:lvl w:ilvl="1" w:tplc="B7C82840">
      <w:numFmt w:val="bullet"/>
      <w:lvlText w:val="•"/>
      <w:lvlJc w:val="left"/>
      <w:pPr>
        <w:ind w:left="1624" w:hanging="272"/>
      </w:pPr>
      <w:rPr>
        <w:rFonts w:hint="default"/>
      </w:rPr>
    </w:lvl>
    <w:lvl w:ilvl="2" w:tplc="84FC4034">
      <w:numFmt w:val="bullet"/>
      <w:lvlText w:val="•"/>
      <w:lvlJc w:val="left"/>
      <w:pPr>
        <w:ind w:left="2508" w:hanging="272"/>
      </w:pPr>
      <w:rPr>
        <w:rFonts w:hint="default"/>
      </w:rPr>
    </w:lvl>
    <w:lvl w:ilvl="3" w:tplc="6FF6A6CE">
      <w:numFmt w:val="bullet"/>
      <w:lvlText w:val="•"/>
      <w:lvlJc w:val="left"/>
      <w:pPr>
        <w:ind w:left="3392" w:hanging="272"/>
      </w:pPr>
      <w:rPr>
        <w:rFonts w:hint="default"/>
      </w:rPr>
    </w:lvl>
    <w:lvl w:ilvl="4" w:tplc="D49AA328">
      <w:numFmt w:val="bullet"/>
      <w:lvlText w:val="•"/>
      <w:lvlJc w:val="left"/>
      <w:pPr>
        <w:ind w:left="4276" w:hanging="272"/>
      </w:pPr>
      <w:rPr>
        <w:rFonts w:hint="default"/>
      </w:rPr>
    </w:lvl>
    <w:lvl w:ilvl="5" w:tplc="B3EC03D6">
      <w:numFmt w:val="bullet"/>
      <w:lvlText w:val="•"/>
      <w:lvlJc w:val="left"/>
      <w:pPr>
        <w:ind w:left="5160" w:hanging="272"/>
      </w:pPr>
      <w:rPr>
        <w:rFonts w:hint="default"/>
      </w:rPr>
    </w:lvl>
    <w:lvl w:ilvl="6" w:tplc="67C0BFDE">
      <w:numFmt w:val="bullet"/>
      <w:lvlText w:val="•"/>
      <w:lvlJc w:val="left"/>
      <w:pPr>
        <w:ind w:left="6044" w:hanging="272"/>
      </w:pPr>
      <w:rPr>
        <w:rFonts w:hint="default"/>
      </w:rPr>
    </w:lvl>
    <w:lvl w:ilvl="7" w:tplc="3BC8C1F2">
      <w:numFmt w:val="bullet"/>
      <w:lvlText w:val="•"/>
      <w:lvlJc w:val="left"/>
      <w:pPr>
        <w:ind w:left="6928" w:hanging="272"/>
      </w:pPr>
      <w:rPr>
        <w:rFonts w:hint="default"/>
      </w:rPr>
    </w:lvl>
    <w:lvl w:ilvl="8" w:tplc="FE20A650">
      <w:numFmt w:val="bullet"/>
      <w:lvlText w:val="•"/>
      <w:lvlJc w:val="left"/>
      <w:pPr>
        <w:ind w:left="7812" w:hanging="272"/>
      </w:pPr>
      <w:rPr>
        <w:rFonts w:hint="default"/>
      </w:rPr>
    </w:lvl>
  </w:abstractNum>
  <w:num w:numId="1" w16cid:durableId="14636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D3"/>
    <w:rsid w:val="001D50A7"/>
    <w:rsid w:val="0026096B"/>
    <w:rsid w:val="003D2CFC"/>
    <w:rsid w:val="007065D3"/>
    <w:rsid w:val="00870056"/>
    <w:rsid w:val="00A91247"/>
    <w:rsid w:val="00B1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B9A8"/>
  <w15:docId w15:val="{15C4D466-5A83-4121-A6EE-16098830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31" w:hanging="271"/>
    </w:pPr>
  </w:style>
  <w:style w:type="paragraph" w:customStyle="1" w:styleId="TableParagraph">
    <w:name w:val="Table Paragraph"/>
    <w:basedOn w:val="Normal"/>
    <w:uiPriority w:val="1"/>
    <w:qFormat/>
    <w:pPr>
      <w:spacing w:line="268"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Sharla Arledge</dc:creator>
  <cp:lastModifiedBy>Kristen Gray</cp:lastModifiedBy>
  <cp:revision>2</cp:revision>
  <dcterms:created xsi:type="dcterms:W3CDTF">2023-10-16T16:43:00Z</dcterms:created>
  <dcterms:modified xsi:type="dcterms:W3CDTF">2023-10-16T16:43:00Z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2023-01-23T00:00:00Z</vt:filetime>
  </property>
</Properties>
</file>